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72479" w14:textId="7EBA4CCD" w:rsidR="00A65EF1" w:rsidRPr="00A65EF1" w:rsidRDefault="00A65EF1" w:rsidP="00A65EF1">
      <w:pPr>
        <w:jc w:val="center"/>
        <w:rPr>
          <w:rFonts w:ascii="Garamond" w:hAnsi="Garamond"/>
          <w:b/>
          <w:lang w:val="en-US"/>
        </w:rPr>
      </w:pPr>
      <w:r w:rsidRPr="00A65EF1">
        <w:rPr>
          <w:rFonts w:ascii="Garamond" w:hAnsi="Garamond"/>
          <w:b/>
          <w:lang w:val="en-US"/>
        </w:rPr>
        <w:t>ST 5450</w:t>
      </w:r>
    </w:p>
    <w:p w14:paraId="4C215D07" w14:textId="701AD196" w:rsidR="00A65EF1" w:rsidRPr="00A65EF1" w:rsidRDefault="00A65EF1" w:rsidP="00A65EF1">
      <w:pPr>
        <w:jc w:val="center"/>
        <w:rPr>
          <w:rFonts w:ascii="Garamond" w:hAnsi="Garamond"/>
          <w:b/>
          <w:lang w:val="en-US"/>
        </w:rPr>
      </w:pPr>
      <w:r w:rsidRPr="00A65EF1">
        <w:rPr>
          <w:rFonts w:ascii="Garamond" w:hAnsi="Garamond"/>
          <w:b/>
          <w:lang w:val="en-US"/>
        </w:rPr>
        <w:t>Apologetics</w:t>
      </w:r>
    </w:p>
    <w:p w14:paraId="4FE76D50" w14:textId="2102B301" w:rsidR="00A65EF1" w:rsidRPr="00A65EF1" w:rsidRDefault="00A65EF1" w:rsidP="00A65EF1">
      <w:pPr>
        <w:jc w:val="center"/>
        <w:rPr>
          <w:rFonts w:ascii="Garamond" w:hAnsi="Garamond"/>
          <w:b/>
          <w:lang w:val="en-US"/>
        </w:rPr>
      </w:pPr>
      <w:r w:rsidRPr="00A65EF1">
        <w:rPr>
          <w:rFonts w:ascii="Garamond" w:hAnsi="Garamond"/>
          <w:b/>
          <w:lang w:val="en-US"/>
        </w:rPr>
        <w:t>Reformed Theological Seminary</w:t>
      </w:r>
    </w:p>
    <w:p w14:paraId="7F99EC39" w14:textId="65E3895C" w:rsidR="00A65EF1" w:rsidRPr="00A65EF1" w:rsidRDefault="00A65EF1" w:rsidP="00A65EF1">
      <w:pPr>
        <w:jc w:val="center"/>
        <w:rPr>
          <w:rFonts w:ascii="Garamond" w:hAnsi="Garamond"/>
          <w:b/>
          <w:lang w:val="en-US"/>
        </w:rPr>
      </w:pPr>
      <w:r w:rsidRPr="00A65EF1">
        <w:rPr>
          <w:rFonts w:ascii="Garamond" w:hAnsi="Garamond"/>
          <w:b/>
          <w:lang w:val="en-US"/>
        </w:rPr>
        <w:t xml:space="preserve">Dr. N. Gray </w:t>
      </w:r>
      <w:proofErr w:type="spellStart"/>
      <w:r w:rsidRPr="00A65EF1">
        <w:rPr>
          <w:rFonts w:ascii="Garamond" w:hAnsi="Garamond"/>
          <w:b/>
          <w:lang w:val="en-US"/>
        </w:rPr>
        <w:t>Sutanto</w:t>
      </w:r>
      <w:proofErr w:type="spellEnd"/>
      <w:r w:rsidRPr="00A65EF1">
        <w:rPr>
          <w:rFonts w:ascii="Garamond" w:hAnsi="Garamond"/>
          <w:b/>
          <w:lang w:val="en-US"/>
        </w:rPr>
        <w:t xml:space="preserve"> (</w:t>
      </w:r>
      <w:hyperlink r:id="rId7" w:history="1">
        <w:r w:rsidRPr="00A65EF1">
          <w:rPr>
            <w:rStyle w:val="Hyperlink"/>
            <w:rFonts w:ascii="Garamond" w:hAnsi="Garamond"/>
            <w:b/>
            <w:lang w:val="en-US"/>
          </w:rPr>
          <w:t>gsutanto@rts.edu</w:t>
        </w:r>
      </w:hyperlink>
      <w:r w:rsidRPr="00A65EF1">
        <w:rPr>
          <w:rFonts w:ascii="Garamond" w:hAnsi="Garamond"/>
          <w:b/>
          <w:lang w:val="en-US"/>
        </w:rPr>
        <w:t>)</w:t>
      </w:r>
    </w:p>
    <w:p w14:paraId="3B8F1F60" w14:textId="7CB376F2" w:rsidR="00A65EF1" w:rsidRPr="00A65EF1" w:rsidRDefault="00A65EF1" w:rsidP="00A65EF1">
      <w:pPr>
        <w:jc w:val="center"/>
        <w:rPr>
          <w:rFonts w:ascii="Garamond" w:hAnsi="Garamond"/>
          <w:b/>
          <w:lang w:val="en-US"/>
        </w:rPr>
      </w:pPr>
    </w:p>
    <w:p w14:paraId="0BE7274A" w14:textId="3F37200D" w:rsidR="00A65EF1" w:rsidRPr="00A65EF1" w:rsidRDefault="00A65EF1" w:rsidP="00A65EF1">
      <w:pPr>
        <w:jc w:val="center"/>
        <w:rPr>
          <w:rFonts w:ascii="Garamond" w:hAnsi="Garamond"/>
          <w:b/>
          <w:lang w:val="en-US"/>
        </w:rPr>
      </w:pPr>
      <w:r w:rsidRPr="00A65EF1">
        <w:rPr>
          <w:rFonts w:ascii="Garamond" w:hAnsi="Garamond"/>
          <w:b/>
          <w:lang w:val="en-US"/>
        </w:rPr>
        <w:t>Course Description</w:t>
      </w:r>
    </w:p>
    <w:p w14:paraId="244F672D" w14:textId="1535E54B" w:rsidR="00A65EF1" w:rsidRPr="00A65EF1" w:rsidRDefault="00A65EF1" w:rsidP="00A65EF1">
      <w:pPr>
        <w:jc w:val="center"/>
        <w:rPr>
          <w:rFonts w:ascii="Garamond" w:hAnsi="Garamond"/>
          <w:lang w:val="en-US"/>
        </w:rPr>
      </w:pPr>
    </w:p>
    <w:p w14:paraId="4FAA2DB6" w14:textId="68E515B9" w:rsidR="00A65EF1" w:rsidRPr="00A65EF1" w:rsidRDefault="00A65EF1" w:rsidP="00A65EF1">
      <w:pPr>
        <w:jc w:val="center"/>
        <w:rPr>
          <w:rFonts w:ascii="Garamond" w:hAnsi="Garamond"/>
          <w:lang w:val="en-US"/>
        </w:rPr>
      </w:pPr>
      <w:r w:rsidRPr="00A65EF1">
        <w:rPr>
          <w:rFonts w:ascii="Garamond" w:hAnsi="Garamond"/>
          <w:lang w:val="en-US"/>
        </w:rPr>
        <w:t xml:space="preserve">This course introduces the theological discipline of apologetics. It focuses on the biblical, theological, and philosophical foundations of apologetics, a consideration of the historical examples of apologetics, and some </w:t>
      </w:r>
      <w:r w:rsidR="002C0DD4">
        <w:rPr>
          <w:rFonts w:ascii="Garamond" w:hAnsi="Garamond"/>
          <w:lang w:val="en-US"/>
        </w:rPr>
        <w:t>perennial</w:t>
      </w:r>
      <w:r w:rsidRPr="00A65EF1">
        <w:rPr>
          <w:rFonts w:ascii="Garamond" w:hAnsi="Garamond"/>
          <w:lang w:val="en-US"/>
        </w:rPr>
        <w:t xml:space="preserve"> objections to </w:t>
      </w:r>
      <w:r w:rsidR="00A25D38">
        <w:rPr>
          <w:rFonts w:ascii="Garamond" w:hAnsi="Garamond"/>
          <w:lang w:val="en-US"/>
        </w:rPr>
        <w:t xml:space="preserve">Christianity. </w:t>
      </w:r>
    </w:p>
    <w:p w14:paraId="640B098D" w14:textId="167A4430" w:rsidR="00A65EF1" w:rsidRPr="00A65EF1" w:rsidRDefault="00A65EF1" w:rsidP="00A65EF1">
      <w:pPr>
        <w:jc w:val="center"/>
        <w:rPr>
          <w:rFonts w:ascii="Garamond" w:hAnsi="Garamond"/>
          <w:lang w:val="en-US"/>
        </w:rPr>
      </w:pPr>
    </w:p>
    <w:p w14:paraId="6B96905E" w14:textId="0B3728DA" w:rsidR="00A65EF1" w:rsidRPr="00A65EF1" w:rsidRDefault="00A65EF1" w:rsidP="00A65EF1">
      <w:pPr>
        <w:jc w:val="center"/>
        <w:rPr>
          <w:rFonts w:ascii="Garamond" w:hAnsi="Garamond"/>
          <w:b/>
          <w:lang w:val="en-US"/>
        </w:rPr>
      </w:pPr>
      <w:r w:rsidRPr="00A65EF1">
        <w:rPr>
          <w:rFonts w:ascii="Garamond" w:hAnsi="Garamond"/>
          <w:b/>
          <w:lang w:val="en-US"/>
        </w:rPr>
        <w:t>Course Readings</w:t>
      </w:r>
    </w:p>
    <w:p w14:paraId="580012FB" w14:textId="15E51542" w:rsidR="00A65EF1" w:rsidRPr="00A65EF1" w:rsidRDefault="00A65EF1" w:rsidP="00A65EF1">
      <w:pPr>
        <w:jc w:val="center"/>
        <w:rPr>
          <w:rFonts w:ascii="Garamond" w:hAnsi="Garamond"/>
          <w:lang w:val="en-US"/>
        </w:rPr>
      </w:pPr>
    </w:p>
    <w:p w14:paraId="106D31F0" w14:textId="5B49E2EF" w:rsidR="00A65EF1" w:rsidRPr="00A65EF1" w:rsidRDefault="00A65EF1" w:rsidP="00A65EF1">
      <w:pPr>
        <w:jc w:val="center"/>
        <w:rPr>
          <w:rFonts w:ascii="Garamond" w:hAnsi="Garamond"/>
          <w:i/>
          <w:lang w:val="en-US"/>
        </w:rPr>
      </w:pPr>
      <w:r w:rsidRPr="00A65EF1">
        <w:rPr>
          <w:rFonts w:ascii="Garamond" w:hAnsi="Garamond"/>
          <w:i/>
          <w:lang w:val="en-US"/>
        </w:rPr>
        <w:t>Principles</w:t>
      </w:r>
    </w:p>
    <w:p w14:paraId="3A16D4EC" w14:textId="77777777" w:rsidR="00A65EF1" w:rsidRPr="00A65EF1" w:rsidRDefault="00A65EF1" w:rsidP="00A65EF1">
      <w:pPr>
        <w:rPr>
          <w:rFonts w:ascii="Garamond" w:hAnsi="Garamond"/>
          <w:i/>
          <w:lang w:val="en-US"/>
        </w:rPr>
      </w:pPr>
    </w:p>
    <w:p w14:paraId="16820D67" w14:textId="597BF732" w:rsidR="00A65EF1" w:rsidRPr="00A65EF1" w:rsidRDefault="00A65EF1" w:rsidP="00A65EF1">
      <w:pPr>
        <w:rPr>
          <w:rFonts w:ascii="Garamond" w:hAnsi="Garamond"/>
          <w:lang w:val="en-US"/>
        </w:rPr>
      </w:pPr>
      <w:r w:rsidRPr="00A65EF1">
        <w:rPr>
          <w:rFonts w:ascii="Garamond" w:hAnsi="Garamond"/>
          <w:lang w:val="en-US"/>
        </w:rPr>
        <w:t xml:space="preserve">Herman Bavinck, </w:t>
      </w:r>
      <w:r w:rsidRPr="00A65EF1">
        <w:rPr>
          <w:rFonts w:ascii="Garamond" w:hAnsi="Garamond"/>
          <w:i/>
          <w:lang w:val="en-US"/>
        </w:rPr>
        <w:t xml:space="preserve">Reformed </w:t>
      </w:r>
      <w:proofErr w:type="spellStart"/>
      <w:r w:rsidRPr="00A65EF1">
        <w:rPr>
          <w:rFonts w:ascii="Garamond" w:hAnsi="Garamond"/>
          <w:i/>
          <w:lang w:val="en-US"/>
        </w:rPr>
        <w:t>Dogmatics</w:t>
      </w:r>
      <w:proofErr w:type="spellEnd"/>
      <w:r w:rsidRPr="00A65EF1">
        <w:rPr>
          <w:rFonts w:ascii="Garamond" w:hAnsi="Garamond"/>
          <w:lang w:val="en-US"/>
        </w:rPr>
        <w:t xml:space="preserve">, vol. 2, </w:t>
      </w:r>
      <w:r w:rsidRPr="00A65EF1">
        <w:rPr>
          <w:rFonts w:ascii="Garamond" w:hAnsi="Garamond"/>
          <w:i/>
          <w:lang w:val="en-US"/>
        </w:rPr>
        <w:t>God and Creation</w:t>
      </w:r>
      <w:r w:rsidRPr="00A65EF1">
        <w:rPr>
          <w:rFonts w:ascii="Garamond" w:hAnsi="Garamond"/>
          <w:lang w:val="en-US"/>
        </w:rPr>
        <w:t xml:space="preserve"> (Baker Academic), </w:t>
      </w:r>
      <w:proofErr w:type="spellStart"/>
      <w:r w:rsidRPr="00A65EF1">
        <w:rPr>
          <w:rFonts w:ascii="Garamond" w:hAnsi="Garamond"/>
          <w:lang w:val="en-US"/>
        </w:rPr>
        <w:t>chpts</w:t>
      </w:r>
      <w:proofErr w:type="spellEnd"/>
      <w:r w:rsidRPr="00A65EF1">
        <w:rPr>
          <w:rFonts w:ascii="Garamond" w:hAnsi="Garamond"/>
          <w:lang w:val="en-US"/>
        </w:rPr>
        <w:t>. 1-2.</w:t>
      </w:r>
    </w:p>
    <w:p w14:paraId="7F0B4D1C" w14:textId="35FFF57E" w:rsidR="00A65EF1" w:rsidRPr="00A65EF1" w:rsidRDefault="00A65EF1" w:rsidP="00A65EF1">
      <w:pPr>
        <w:rPr>
          <w:rFonts w:ascii="Garamond" w:hAnsi="Garamond"/>
          <w:lang w:val="en-US"/>
        </w:rPr>
      </w:pPr>
    </w:p>
    <w:p w14:paraId="0E5176CB" w14:textId="5CFCE4F1" w:rsidR="00A65EF1" w:rsidRPr="00A65EF1" w:rsidRDefault="00A65EF1" w:rsidP="00A65EF1">
      <w:pPr>
        <w:rPr>
          <w:rFonts w:ascii="Garamond" w:hAnsi="Garamond"/>
          <w:lang w:val="en-US"/>
        </w:rPr>
      </w:pPr>
      <w:r w:rsidRPr="00A65EF1">
        <w:rPr>
          <w:rFonts w:ascii="Garamond" w:hAnsi="Garamond"/>
          <w:lang w:val="en-US"/>
        </w:rPr>
        <w:t xml:space="preserve">Greg </w:t>
      </w:r>
      <w:proofErr w:type="spellStart"/>
      <w:r w:rsidRPr="00A65EF1">
        <w:rPr>
          <w:rFonts w:ascii="Garamond" w:hAnsi="Garamond"/>
          <w:lang w:val="en-US"/>
        </w:rPr>
        <w:t>Bahnsen</w:t>
      </w:r>
      <w:proofErr w:type="spellEnd"/>
      <w:r w:rsidRPr="00A65EF1">
        <w:rPr>
          <w:rFonts w:ascii="Garamond" w:hAnsi="Garamond"/>
          <w:lang w:val="en-US"/>
        </w:rPr>
        <w:t xml:space="preserve">, “The Crucial Concept of Self-Deception in Presuppositional Apologetics,” </w:t>
      </w:r>
      <w:r w:rsidRPr="00A65EF1">
        <w:rPr>
          <w:rFonts w:ascii="Garamond" w:hAnsi="Garamond"/>
          <w:i/>
          <w:lang w:val="en-US"/>
        </w:rPr>
        <w:t xml:space="preserve">WTJ </w:t>
      </w:r>
      <w:r w:rsidRPr="00A65EF1">
        <w:rPr>
          <w:rFonts w:ascii="Garamond" w:hAnsi="Garamond"/>
          <w:lang w:val="en-US"/>
        </w:rPr>
        <w:t>(1995): 1-31</w:t>
      </w:r>
      <w:r>
        <w:rPr>
          <w:rFonts w:ascii="Garamond" w:hAnsi="Garamond"/>
          <w:lang w:val="en-US"/>
        </w:rPr>
        <w:t>.</w:t>
      </w:r>
    </w:p>
    <w:p w14:paraId="235BBBA7" w14:textId="319F6CE1" w:rsidR="00A65EF1" w:rsidRPr="00A65EF1" w:rsidRDefault="00A65EF1" w:rsidP="00A65EF1">
      <w:pPr>
        <w:rPr>
          <w:rFonts w:ascii="Garamond" w:hAnsi="Garamond"/>
          <w:lang w:val="en-US"/>
        </w:rPr>
      </w:pPr>
    </w:p>
    <w:p w14:paraId="4C20C795" w14:textId="79EE0DFD" w:rsidR="00A65EF1" w:rsidRPr="00A65EF1" w:rsidRDefault="00A65EF1" w:rsidP="00A65EF1">
      <w:pPr>
        <w:rPr>
          <w:rFonts w:ascii="Garamond" w:hAnsi="Garamond"/>
          <w:lang w:val="en-US"/>
        </w:rPr>
      </w:pPr>
      <w:r w:rsidRPr="00A65EF1">
        <w:rPr>
          <w:rFonts w:ascii="Garamond" w:hAnsi="Garamond"/>
          <w:lang w:val="en-US"/>
        </w:rPr>
        <w:t xml:space="preserve">Richard </w:t>
      </w:r>
      <w:proofErr w:type="spellStart"/>
      <w:r w:rsidRPr="00A65EF1">
        <w:rPr>
          <w:rFonts w:ascii="Garamond" w:hAnsi="Garamond"/>
          <w:lang w:val="en-US"/>
        </w:rPr>
        <w:t>Gaffin</w:t>
      </w:r>
      <w:proofErr w:type="spellEnd"/>
      <w:r w:rsidRPr="00A65EF1">
        <w:rPr>
          <w:rFonts w:ascii="Garamond" w:hAnsi="Garamond"/>
          <w:lang w:val="en-US"/>
        </w:rPr>
        <w:t xml:space="preserve">, “Some Epistemological Reflections on 1 Cor. 2:6-16,” </w:t>
      </w:r>
      <w:r w:rsidRPr="00A65EF1">
        <w:rPr>
          <w:rFonts w:ascii="Garamond" w:hAnsi="Garamond"/>
          <w:i/>
          <w:lang w:val="en-US"/>
        </w:rPr>
        <w:t xml:space="preserve">WTJ </w:t>
      </w:r>
      <w:r w:rsidRPr="00A65EF1">
        <w:rPr>
          <w:rFonts w:ascii="Garamond" w:hAnsi="Garamond"/>
          <w:lang w:val="en-US"/>
        </w:rPr>
        <w:t>(1995): 103-24</w:t>
      </w:r>
    </w:p>
    <w:p w14:paraId="3C9BACEE" w14:textId="3B45F06A" w:rsidR="00A65EF1" w:rsidRPr="00A65EF1" w:rsidRDefault="00A65EF1" w:rsidP="00A65EF1">
      <w:pPr>
        <w:rPr>
          <w:rFonts w:ascii="Garamond" w:hAnsi="Garamond"/>
          <w:lang w:val="en-US"/>
        </w:rPr>
      </w:pPr>
    </w:p>
    <w:p w14:paraId="0524F711" w14:textId="6358B3F7" w:rsidR="00A65EF1" w:rsidRPr="00A65EF1" w:rsidRDefault="00A65EF1" w:rsidP="00A65EF1">
      <w:pPr>
        <w:rPr>
          <w:rFonts w:ascii="Garamond" w:hAnsi="Garamond"/>
          <w:lang w:val="en-US"/>
        </w:rPr>
      </w:pPr>
      <w:r w:rsidRPr="00A65EF1">
        <w:rPr>
          <w:rFonts w:ascii="Garamond" w:hAnsi="Garamond"/>
          <w:lang w:val="en-US"/>
        </w:rPr>
        <w:t xml:space="preserve">Alvin Plantinga, “Augustinian Christian Philosophy,” </w:t>
      </w:r>
      <w:r w:rsidRPr="00A65EF1">
        <w:rPr>
          <w:rFonts w:ascii="Garamond" w:hAnsi="Garamond"/>
          <w:i/>
          <w:lang w:val="en-US"/>
        </w:rPr>
        <w:t xml:space="preserve">The Monist </w:t>
      </w:r>
      <w:r w:rsidRPr="00A65EF1">
        <w:rPr>
          <w:rFonts w:ascii="Garamond" w:hAnsi="Garamond"/>
          <w:lang w:val="en-US"/>
        </w:rPr>
        <w:t>75 (1992): 291-320</w:t>
      </w:r>
      <w:r>
        <w:rPr>
          <w:rFonts w:ascii="Garamond" w:hAnsi="Garamond"/>
          <w:lang w:val="en-US"/>
        </w:rPr>
        <w:t>.</w:t>
      </w:r>
    </w:p>
    <w:p w14:paraId="210F5881" w14:textId="2C93F7F3" w:rsidR="00A65EF1" w:rsidRDefault="00A65EF1" w:rsidP="00A65EF1">
      <w:pPr>
        <w:rPr>
          <w:rFonts w:ascii="Garamond" w:hAnsi="Garamond"/>
          <w:lang w:val="en-US"/>
        </w:rPr>
      </w:pPr>
    </w:p>
    <w:p w14:paraId="439BF4B4" w14:textId="0B7DC742" w:rsidR="00634007" w:rsidRPr="00A65EF1" w:rsidRDefault="00634007" w:rsidP="00A65EF1">
      <w:pPr>
        <w:rPr>
          <w:rFonts w:ascii="Garamond" w:hAnsi="Garamond"/>
          <w:lang w:val="en-US"/>
        </w:rPr>
      </w:pPr>
      <w:r w:rsidRPr="00A65EF1">
        <w:rPr>
          <w:rFonts w:ascii="Garamond" w:hAnsi="Garamond"/>
          <w:lang w:val="en-US"/>
        </w:rPr>
        <w:t xml:space="preserve">Daniel Strange, </w:t>
      </w:r>
      <w:r w:rsidRPr="00A65EF1">
        <w:rPr>
          <w:rFonts w:ascii="Garamond" w:hAnsi="Garamond"/>
          <w:i/>
          <w:lang w:val="en-US"/>
        </w:rPr>
        <w:t>Their Rock is Not Like Our Rock: A Theology of Religions</w:t>
      </w:r>
      <w:r w:rsidRPr="00A65EF1">
        <w:rPr>
          <w:rFonts w:ascii="Garamond" w:hAnsi="Garamond"/>
          <w:lang w:val="en-US"/>
        </w:rPr>
        <w:t xml:space="preserve"> (Zondervan</w:t>
      </w:r>
      <w:r>
        <w:rPr>
          <w:rFonts w:ascii="Garamond" w:hAnsi="Garamond"/>
          <w:lang w:val="en-US"/>
        </w:rPr>
        <w:t>:</w:t>
      </w:r>
      <w:r w:rsidRPr="00A65EF1">
        <w:rPr>
          <w:rFonts w:ascii="Garamond" w:hAnsi="Garamond"/>
          <w:lang w:val="en-US"/>
        </w:rPr>
        <w:t xml:space="preserve"> 2014), Entirety</w:t>
      </w:r>
      <w:r w:rsidR="00A25D38">
        <w:rPr>
          <w:rFonts w:ascii="Garamond" w:hAnsi="Garamond"/>
          <w:lang w:val="en-US"/>
        </w:rPr>
        <w:t>.</w:t>
      </w:r>
    </w:p>
    <w:p w14:paraId="419B2894" w14:textId="76C489BF" w:rsidR="00A65EF1" w:rsidRPr="00A65EF1" w:rsidRDefault="00A65EF1" w:rsidP="00A65EF1">
      <w:pPr>
        <w:rPr>
          <w:rFonts w:ascii="Garamond" w:hAnsi="Garamond"/>
          <w:lang w:val="en-US"/>
        </w:rPr>
      </w:pPr>
      <w:r w:rsidRPr="00A65EF1">
        <w:rPr>
          <w:rFonts w:ascii="Garamond" w:hAnsi="Garamond"/>
          <w:lang w:val="en-US"/>
        </w:rPr>
        <w:br/>
        <w:t xml:space="preserve">Cornelius Van </w:t>
      </w:r>
      <w:proofErr w:type="spellStart"/>
      <w:r w:rsidRPr="00A65EF1">
        <w:rPr>
          <w:rFonts w:ascii="Garamond" w:hAnsi="Garamond"/>
          <w:lang w:val="en-US"/>
        </w:rPr>
        <w:t>Til</w:t>
      </w:r>
      <w:proofErr w:type="spellEnd"/>
      <w:r w:rsidRPr="00A65EF1">
        <w:rPr>
          <w:rFonts w:ascii="Garamond" w:hAnsi="Garamond"/>
          <w:lang w:val="en-US"/>
        </w:rPr>
        <w:t xml:space="preserve">, </w:t>
      </w:r>
      <w:r w:rsidRPr="00A65EF1">
        <w:rPr>
          <w:rFonts w:ascii="Garamond" w:hAnsi="Garamond"/>
          <w:i/>
          <w:lang w:val="en-US"/>
        </w:rPr>
        <w:t>Defense of the Faith</w:t>
      </w:r>
      <w:r w:rsidRPr="00A65EF1">
        <w:rPr>
          <w:rFonts w:ascii="Garamond" w:hAnsi="Garamond"/>
          <w:lang w:val="en-US"/>
        </w:rPr>
        <w:t>, 4</w:t>
      </w:r>
      <w:r w:rsidRPr="00A65EF1">
        <w:rPr>
          <w:rFonts w:ascii="Garamond" w:hAnsi="Garamond"/>
          <w:vertAlign w:val="superscript"/>
          <w:lang w:val="en-US"/>
        </w:rPr>
        <w:t>th</w:t>
      </w:r>
      <w:r w:rsidRPr="00A65EF1">
        <w:rPr>
          <w:rFonts w:ascii="Garamond" w:hAnsi="Garamond"/>
          <w:lang w:val="en-US"/>
        </w:rPr>
        <w:t xml:space="preserve"> edition. </w:t>
      </w:r>
      <w:r>
        <w:rPr>
          <w:rFonts w:ascii="Garamond" w:hAnsi="Garamond"/>
          <w:lang w:val="en-US"/>
        </w:rPr>
        <w:t xml:space="preserve">(P&amp;R: 2008) </w:t>
      </w:r>
      <w:r w:rsidRPr="00A65EF1">
        <w:rPr>
          <w:rFonts w:ascii="Garamond" w:hAnsi="Garamond"/>
          <w:lang w:val="en-US"/>
        </w:rPr>
        <w:t>Entirety.</w:t>
      </w:r>
    </w:p>
    <w:p w14:paraId="4C637494" w14:textId="1E7C3B6B" w:rsidR="00A65EF1" w:rsidRPr="00A65EF1" w:rsidRDefault="00A65EF1" w:rsidP="00A65EF1">
      <w:pPr>
        <w:rPr>
          <w:rFonts w:ascii="Garamond" w:hAnsi="Garamond"/>
          <w:lang w:val="en-US"/>
        </w:rPr>
      </w:pPr>
    </w:p>
    <w:p w14:paraId="22CDBA73" w14:textId="7DC2F7B8" w:rsidR="00A65EF1" w:rsidRPr="0040162A" w:rsidRDefault="00A65EF1" w:rsidP="00A65EF1">
      <w:pPr>
        <w:rPr>
          <w:rFonts w:ascii="Garamond" w:hAnsi="Garamond"/>
          <w:lang w:val="en-US"/>
        </w:rPr>
      </w:pPr>
      <w:r w:rsidRPr="00A65EF1">
        <w:rPr>
          <w:rFonts w:ascii="Garamond" w:hAnsi="Garamond"/>
          <w:lang w:val="en-US"/>
        </w:rPr>
        <w:t xml:space="preserve">Cornelius Van </w:t>
      </w:r>
      <w:proofErr w:type="spellStart"/>
      <w:r w:rsidRPr="00A65EF1">
        <w:rPr>
          <w:rFonts w:ascii="Garamond" w:hAnsi="Garamond"/>
          <w:lang w:val="en-US"/>
        </w:rPr>
        <w:t>Til</w:t>
      </w:r>
      <w:proofErr w:type="spellEnd"/>
      <w:r w:rsidRPr="00A65EF1">
        <w:rPr>
          <w:rFonts w:ascii="Garamond" w:hAnsi="Garamond"/>
          <w:lang w:val="en-US"/>
        </w:rPr>
        <w:t xml:space="preserve">, “Nature and Scripture,” in </w:t>
      </w:r>
      <w:r w:rsidRPr="00A65EF1">
        <w:rPr>
          <w:rFonts w:ascii="Garamond" w:hAnsi="Garamond"/>
          <w:i/>
          <w:lang w:val="en-US"/>
        </w:rPr>
        <w:t>The Infallible Word: A Symposium by Members of Westminster Theological Seminary</w:t>
      </w:r>
      <w:r>
        <w:rPr>
          <w:rFonts w:ascii="Garamond" w:hAnsi="Garamond"/>
          <w:i/>
          <w:lang w:val="en-US"/>
        </w:rPr>
        <w:t xml:space="preserve"> </w:t>
      </w:r>
      <w:r>
        <w:rPr>
          <w:rFonts w:ascii="Garamond" w:hAnsi="Garamond"/>
          <w:lang w:val="en-US"/>
        </w:rPr>
        <w:t>(P&amp;R, 2003), 263-301.</w:t>
      </w:r>
    </w:p>
    <w:p w14:paraId="7CCC5778" w14:textId="464493B9" w:rsidR="00A65EF1" w:rsidRPr="00A65EF1" w:rsidRDefault="00A65EF1" w:rsidP="00A65EF1">
      <w:pPr>
        <w:jc w:val="center"/>
        <w:rPr>
          <w:rFonts w:ascii="Garamond" w:hAnsi="Garamond"/>
          <w:i/>
          <w:lang w:val="en-US"/>
        </w:rPr>
      </w:pPr>
    </w:p>
    <w:p w14:paraId="4FE4073C" w14:textId="7BC28CDD" w:rsidR="00A65EF1" w:rsidRPr="00A65EF1" w:rsidRDefault="00A65EF1" w:rsidP="00A65EF1">
      <w:pPr>
        <w:jc w:val="center"/>
        <w:rPr>
          <w:rFonts w:ascii="Garamond" w:hAnsi="Garamond"/>
          <w:i/>
          <w:lang w:val="en-US"/>
        </w:rPr>
      </w:pPr>
      <w:r w:rsidRPr="00A65EF1">
        <w:rPr>
          <w:rFonts w:ascii="Garamond" w:hAnsi="Garamond"/>
          <w:i/>
          <w:lang w:val="en-US"/>
        </w:rPr>
        <w:t>Practice</w:t>
      </w:r>
    </w:p>
    <w:p w14:paraId="27D44F52" w14:textId="16F3D07D" w:rsidR="00A65EF1" w:rsidRPr="00A65EF1" w:rsidRDefault="00A65EF1" w:rsidP="00A65EF1">
      <w:pPr>
        <w:rPr>
          <w:rFonts w:ascii="Garamond" w:hAnsi="Garamond"/>
          <w:lang w:val="en-US"/>
        </w:rPr>
      </w:pPr>
    </w:p>
    <w:p w14:paraId="2291FAC4" w14:textId="581ABA1F" w:rsidR="00A65EF1" w:rsidRPr="00A65EF1" w:rsidRDefault="00A65EF1" w:rsidP="00A65EF1">
      <w:pPr>
        <w:rPr>
          <w:rFonts w:ascii="Garamond" w:hAnsi="Garamond"/>
          <w:lang w:val="en-US"/>
        </w:rPr>
      </w:pPr>
      <w:r w:rsidRPr="00A65EF1">
        <w:rPr>
          <w:rFonts w:ascii="Garamond" w:hAnsi="Garamond"/>
          <w:lang w:val="en-US"/>
        </w:rPr>
        <w:t xml:space="preserve">James Anderson, “If Knowledge then God: The Epistemological Theistic Arguments of Plantinga and Van </w:t>
      </w:r>
      <w:proofErr w:type="spellStart"/>
      <w:r w:rsidRPr="00A65EF1">
        <w:rPr>
          <w:rFonts w:ascii="Garamond" w:hAnsi="Garamond"/>
          <w:lang w:val="en-US"/>
        </w:rPr>
        <w:t>Til</w:t>
      </w:r>
      <w:proofErr w:type="spellEnd"/>
      <w:r w:rsidRPr="00A65EF1">
        <w:rPr>
          <w:rFonts w:ascii="Garamond" w:hAnsi="Garamond"/>
          <w:lang w:val="en-US"/>
        </w:rPr>
        <w:t xml:space="preserve">,” </w:t>
      </w:r>
      <w:r w:rsidRPr="00A65EF1">
        <w:rPr>
          <w:rFonts w:ascii="Garamond" w:hAnsi="Garamond"/>
          <w:i/>
          <w:lang w:val="en-US"/>
        </w:rPr>
        <w:t xml:space="preserve">CTJ </w:t>
      </w:r>
      <w:r w:rsidRPr="00A65EF1">
        <w:rPr>
          <w:rFonts w:ascii="Garamond" w:hAnsi="Garamond"/>
          <w:lang w:val="en-US"/>
        </w:rPr>
        <w:t>(2005): 49-75</w:t>
      </w:r>
    </w:p>
    <w:p w14:paraId="14632C9A" w14:textId="3BB2D4A8" w:rsidR="00A65EF1" w:rsidRPr="00A65EF1" w:rsidRDefault="00A65EF1" w:rsidP="00A65EF1">
      <w:pPr>
        <w:rPr>
          <w:rFonts w:ascii="Garamond" w:hAnsi="Garamond"/>
          <w:lang w:val="en-US"/>
        </w:rPr>
      </w:pPr>
    </w:p>
    <w:p w14:paraId="5694FA29" w14:textId="342441CA" w:rsidR="00A65EF1" w:rsidRPr="00A65EF1" w:rsidRDefault="00A65EF1" w:rsidP="00A65EF1">
      <w:pPr>
        <w:rPr>
          <w:rFonts w:ascii="Garamond" w:hAnsi="Garamond"/>
          <w:lang w:val="en-US"/>
        </w:rPr>
      </w:pPr>
      <w:r w:rsidRPr="00A65EF1">
        <w:rPr>
          <w:rFonts w:ascii="Garamond" w:hAnsi="Garamond"/>
          <w:lang w:val="en-US"/>
        </w:rPr>
        <w:t xml:space="preserve">James Anderson and Greg Welty, “The Lord of Non-Contradiction: An Argument for God from Logic,” </w:t>
      </w:r>
      <w:proofErr w:type="spellStart"/>
      <w:r w:rsidRPr="00A65EF1">
        <w:rPr>
          <w:rFonts w:ascii="Garamond" w:hAnsi="Garamond"/>
          <w:i/>
          <w:lang w:val="en-US"/>
        </w:rPr>
        <w:t>Philosophia</w:t>
      </w:r>
      <w:proofErr w:type="spellEnd"/>
      <w:r w:rsidRPr="00A65EF1">
        <w:rPr>
          <w:rFonts w:ascii="Garamond" w:hAnsi="Garamond"/>
          <w:i/>
          <w:lang w:val="en-US"/>
        </w:rPr>
        <w:t xml:space="preserve"> Christi</w:t>
      </w:r>
      <w:r w:rsidRPr="00A65EF1">
        <w:rPr>
          <w:rFonts w:ascii="Garamond" w:hAnsi="Garamond"/>
          <w:lang w:val="en-US"/>
        </w:rPr>
        <w:t xml:space="preserve"> (2011): 321-338</w:t>
      </w:r>
    </w:p>
    <w:p w14:paraId="6DFCB2A1" w14:textId="125DB8F0" w:rsidR="00A65EF1" w:rsidRPr="00A65EF1" w:rsidRDefault="00A65EF1" w:rsidP="00A65EF1">
      <w:pPr>
        <w:rPr>
          <w:rFonts w:ascii="Garamond" w:hAnsi="Garamond"/>
          <w:lang w:val="en-US"/>
        </w:rPr>
      </w:pPr>
    </w:p>
    <w:p w14:paraId="308C78C6" w14:textId="4B69AD79" w:rsidR="00A65EF1" w:rsidRPr="00A65EF1" w:rsidRDefault="00A65EF1" w:rsidP="00A65EF1">
      <w:pPr>
        <w:rPr>
          <w:rFonts w:ascii="Garamond" w:hAnsi="Garamond"/>
          <w:lang w:val="en-US"/>
        </w:rPr>
      </w:pPr>
      <w:r w:rsidRPr="00A65EF1">
        <w:rPr>
          <w:rFonts w:ascii="Garamond" w:hAnsi="Garamond"/>
          <w:lang w:val="en-US"/>
        </w:rPr>
        <w:t>Alvin Plantinga, “Two Dozen (or so) Theistic Arguments” (PDF provided)</w:t>
      </w:r>
    </w:p>
    <w:p w14:paraId="6FEC73E7" w14:textId="5D276305" w:rsidR="00A65EF1" w:rsidRPr="00A65EF1" w:rsidRDefault="00A65EF1" w:rsidP="00A65EF1">
      <w:pPr>
        <w:rPr>
          <w:rFonts w:ascii="Garamond" w:hAnsi="Garamond"/>
          <w:lang w:val="en-US"/>
        </w:rPr>
      </w:pPr>
    </w:p>
    <w:p w14:paraId="4B0EABA1" w14:textId="65197B24" w:rsidR="00A65EF1" w:rsidRDefault="00A65EF1" w:rsidP="00A65EF1">
      <w:pPr>
        <w:rPr>
          <w:rFonts w:ascii="Garamond" w:hAnsi="Garamond"/>
          <w:lang w:val="en-US"/>
        </w:rPr>
      </w:pPr>
      <w:r w:rsidRPr="00A65EF1">
        <w:rPr>
          <w:rFonts w:ascii="Garamond" w:hAnsi="Garamond"/>
          <w:lang w:val="en-US"/>
        </w:rPr>
        <w:t xml:space="preserve">Tim Keller, </w:t>
      </w:r>
      <w:r w:rsidRPr="00A65EF1">
        <w:rPr>
          <w:rFonts w:ascii="Garamond" w:hAnsi="Garamond"/>
          <w:i/>
          <w:lang w:val="en-US"/>
        </w:rPr>
        <w:t xml:space="preserve">Making Sense of God: An Invitation to the Skeptical </w:t>
      </w:r>
      <w:r w:rsidRPr="00A65EF1">
        <w:rPr>
          <w:rFonts w:ascii="Garamond" w:hAnsi="Garamond"/>
          <w:lang w:val="en-US"/>
        </w:rPr>
        <w:t>(Penguin: 2016), Entirety.</w:t>
      </w:r>
    </w:p>
    <w:p w14:paraId="1D96036D" w14:textId="1F0E1CEE" w:rsidR="00A65EF1" w:rsidRDefault="00A65EF1" w:rsidP="00A65EF1">
      <w:pPr>
        <w:rPr>
          <w:rFonts w:ascii="Garamond" w:hAnsi="Garamond"/>
          <w:lang w:val="en-US"/>
        </w:rPr>
      </w:pPr>
    </w:p>
    <w:p w14:paraId="3C2C1B41" w14:textId="7E39DAA3" w:rsidR="00A65EF1" w:rsidRDefault="00A65EF1" w:rsidP="00A65EF1">
      <w:pPr>
        <w:rPr>
          <w:rFonts w:ascii="Garamond" w:hAnsi="Garamond"/>
          <w:lang w:val="en-US"/>
        </w:rPr>
      </w:pPr>
    </w:p>
    <w:p w14:paraId="0C85A2CB" w14:textId="32E8C5C0" w:rsidR="0040162A" w:rsidRDefault="0040162A" w:rsidP="00A65EF1">
      <w:pPr>
        <w:rPr>
          <w:rFonts w:ascii="Garamond" w:hAnsi="Garamond"/>
          <w:lang w:val="en-US"/>
        </w:rPr>
      </w:pPr>
    </w:p>
    <w:p w14:paraId="26F717A4" w14:textId="7052AD97" w:rsidR="00F514DF" w:rsidRDefault="00F514DF" w:rsidP="00A65EF1">
      <w:pPr>
        <w:rPr>
          <w:rFonts w:ascii="Garamond" w:hAnsi="Garamond"/>
          <w:lang w:val="en-US"/>
        </w:rPr>
      </w:pPr>
    </w:p>
    <w:p w14:paraId="2EDA70D8" w14:textId="0D27D308" w:rsidR="00F514DF" w:rsidRDefault="00F514DF" w:rsidP="00A65EF1">
      <w:pPr>
        <w:rPr>
          <w:rFonts w:ascii="Garamond" w:hAnsi="Garamond"/>
          <w:lang w:val="en-US"/>
        </w:rPr>
      </w:pPr>
    </w:p>
    <w:p w14:paraId="4BD79519" w14:textId="287FCCF4" w:rsidR="00F514DF" w:rsidRDefault="00F514DF" w:rsidP="00A65EF1">
      <w:pPr>
        <w:rPr>
          <w:rFonts w:ascii="Garamond" w:hAnsi="Garamond"/>
          <w:lang w:val="en-US"/>
        </w:rPr>
      </w:pPr>
    </w:p>
    <w:p w14:paraId="49E6838F" w14:textId="77777777" w:rsidR="00F514DF" w:rsidRDefault="00F514DF" w:rsidP="00A65EF1">
      <w:pPr>
        <w:rPr>
          <w:rFonts w:ascii="Garamond" w:hAnsi="Garamond"/>
          <w:lang w:val="en-US"/>
        </w:rPr>
      </w:pPr>
    </w:p>
    <w:p w14:paraId="76F009F6" w14:textId="77777777" w:rsidR="0040162A" w:rsidRDefault="0040162A" w:rsidP="00A65EF1">
      <w:pPr>
        <w:rPr>
          <w:rFonts w:ascii="Garamond" w:hAnsi="Garamond"/>
          <w:lang w:val="en-US"/>
        </w:rPr>
      </w:pPr>
    </w:p>
    <w:p w14:paraId="3EB2344E" w14:textId="6866889D" w:rsidR="00A65EF1" w:rsidRPr="00A65EF1" w:rsidRDefault="00A65EF1" w:rsidP="00A65EF1">
      <w:pPr>
        <w:jc w:val="center"/>
        <w:rPr>
          <w:rFonts w:ascii="Garamond" w:hAnsi="Garamond"/>
          <w:b/>
          <w:lang w:val="en-US"/>
        </w:rPr>
      </w:pPr>
      <w:r w:rsidRPr="00A65EF1">
        <w:rPr>
          <w:rFonts w:ascii="Garamond" w:hAnsi="Garamond"/>
          <w:b/>
          <w:lang w:val="en-US"/>
        </w:rPr>
        <w:lastRenderedPageBreak/>
        <w:t xml:space="preserve">Course Requirements: </w:t>
      </w:r>
    </w:p>
    <w:p w14:paraId="4093D1A4" w14:textId="01DE5BEB" w:rsidR="00A65EF1" w:rsidRDefault="00A65EF1" w:rsidP="00A65EF1">
      <w:pPr>
        <w:jc w:val="center"/>
        <w:rPr>
          <w:rFonts w:ascii="Garamond" w:hAnsi="Garamond"/>
          <w:lang w:val="en-US"/>
        </w:rPr>
      </w:pPr>
    </w:p>
    <w:p w14:paraId="4A7909F5" w14:textId="5AD0E71A" w:rsidR="00A65EF1" w:rsidRDefault="00A65EF1" w:rsidP="00A65EF1">
      <w:pPr>
        <w:pStyle w:val="ListParagraph"/>
        <w:numPr>
          <w:ilvl w:val="0"/>
          <w:numId w:val="1"/>
        </w:numPr>
        <w:jc w:val="both"/>
        <w:rPr>
          <w:rFonts w:ascii="Garamond" w:hAnsi="Garamond"/>
          <w:lang w:val="en-US"/>
        </w:rPr>
      </w:pPr>
      <w:r>
        <w:rPr>
          <w:rFonts w:ascii="Garamond" w:hAnsi="Garamond"/>
          <w:lang w:val="en-US"/>
        </w:rPr>
        <w:t>Participation (10%)</w:t>
      </w:r>
    </w:p>
    <w:p w14:paraId="1B3EB4B4" w14:textId="77777777" w:rsidR="00B9048F" w:rsidRPr="00B9048F" w:rsidRDefault="00B9048F" w:rsidP="00B9048F">
      <w:pPr>
        <w:ind w:left="360"/>
        <w:jc w:val="both"/>
        <w:rPr>
          <w:rFonts w:ascii="Garamond" w:hAnsi="Garamond"/>
          <w:lang w:val="en-US"/>
        </w:rPr>
      </w:pPr>
    </w:p>
    <w:p w14:paraId="145A1D51" w14:textId="4FA77C62" w:rsidR="00A65EF1" w:rsidRPr="0069530D" w:rsidRDefault="00A65EF1" w:rsidP="0069530D">
      <w:pPr>
        <w:pStyle w:val="ListParagraph"/>
        <w:numPr>
          <w:ilvl w:val="0"/>
          <w:numId w:val="1"/>
        </w:numPr>
        <w:jc w:val="both"/>
        <w:rPr>
          <w:rFonts w:ascii="Garamond" w:hAnsi="Garamond"/>
          <w:u w:val="single"/>
          <w:lang w:val="en-US"/>
        </w:rPr>
      </w:pPr>
      <w:r>
        <w:rPr>
          <w:rFonts w:ascii="Garamond" w:hAnsi="Garamond"/>
          <w:lang w:val="en-US"/>
        </w:rPr>
        <w:t xml:space="preserve">Apologetics Paper (30%) – </w:t>
      </w:r>
      <w:r w:rsidR="0069530D">
        <w:rPr>
          <w:rFonts w:ascii="Garamond" w:hAnsi="Garamond"/>
          <w:lang w:val="en-US"/>
        </w:rPr>
        <w:t xml:space="preserve">2000 </w:t>
      </w:r>
      <w:r>
        <w:rPr>
          <w:rFonts w:ascii="Garamond" w:hAnsi="Garamond"/>
          <w:lang w:val="en-US"/>
        </w:rPr>
        <w:t xml:space="preserve">words maximum. </w:t>
      </w:r>
      <w:r w:rsidRPr="0069530D">
        <w:rPr>
          <w:rFonts w:ascii="Garamond" w:hAnsi="Garamond"/>
          <w:lang w:val="en-US"/>
        </w:rPr>
        <w:t>Students will write a dialogue paper responding to an alternative faith or worldview, while utilizing the material from the reading and lectures.</w:t>
      </w:r>
      <w:r w:rsidR="0069530D" w:rsidRPr="0069530D">
        <w:rPr>
          <w:rFonts w:ascii="Garamond" w:hAnsi="Garamond"/>
          <w:lang w:val="en-US"/>
        </w:rPr>
        <w:t xml:space="preserve"> </w:t>
      </w:r>
      <w:r w:rsidRPr="0069530D">
        <w:rPr>
          <w:rFonts w:ascii="Garamond" w:hAnsi="Garamond"/>
          <w:lang w:val="en-US"/>
        </w:rPr>
        <w:t xml:space="preserve">You </w:t>
      </w:r>
      <w:r w:rsidR="0069530D" w:rsidRPr="0069530D">
        <w:rPr>
          <w:rFonts w:ascii="Garamond" w:hAnsi="Garamond"/>
          <w:lang w:val="en-US"/>
        </w:rPr>
        <w:t>will</w:t>
      </w:r>
      <w:r w:rsidRPr="0069530D">
        <w:rPr>
          <w:rFonts w:ascii="Garamond" w:hAnsi="Garamond"/>
          <w:lang w:val="en-US"/>
        </w:rPr>
        <w:t xml:space="preserve"> interact with</w:t>
      </w:r>
      <w:r w:rsidR="00B9048F" w:rsidRPr="0069530D">
        <w:rPr>
          <w:rFonts w:ascii="Garamond" w:hAnsi="Garamond"/>
          <w:lang w:val="en-US"/>
        </w:rPr>
        <w:t xml:space="preserve"> a section from</w:t>
      </w:r>
      <w:r w:rsidRPr="0069530D">
        <w:rPr>
          <w:rFonts w:ascii="Garamond" w:hAnsi="Garamond"/>
          <w:lang w:val="en-US"/>
        </w:rPr>
        <w:t xml:space="preserve"> a classic or contemporary text (e.g. Voltaire’s </w:t>
      </w:r>
      <w:r w:rsidRPr="0069530D">
        <w:rPr>
          <w:rFonts w:ascii="Garamond" w:hAnsi="Garamond"/>
          <w:i/>
          <w:lang w:val="en-US"/>
        </w:rPr>
        <w:t>Candide</w:t>
      </w:r>
      <w:r w:rsidRPr="0069530D">
        <w:rPr>
          <w:rFonts w:ascii="Garamond" w:hAnsi="Garamond"/>
          <w:lang w:val="en-US"/>
        </w:rPr>
        <w:t xml:space="preserve">, Hume’s </w:t>
      </w:r>
      <w:r w:rsidRPr="0069530D">
        <w:rPr>
          <w:rFonts w:ascii="Garamond" w:hAnsi="Garamond"/>
          <w:i/>
          <w:lang w:val="en-US"/>
        </w:rPr>
        <w:t>Dialogue Concerning Natural Religion</w:t>
      </w:r>
      <w:r w:rsidRPr="0069530D">
        <w:rPr>
          <w:rFonts w:ascii="Garamond" w:hAnsi="Garamond"/>
          <w:lang w:val="en-US"/>
        </w:rPr>
        <w:t xml:space="preserve">, Hitchens’ </w:t>
      </w:r>
      <w:r w:rsidRPr="0069530D">
        <w:rPr>
          <w:rFonts w:ascii="Garamond" w:hAnsi="Garamond"/>
          <w:i/>
          <w:lang w:val="en-US"/>
        </w:rPr>
        <w:t>Religion Poisons Everything</w:t>
      </w:r>
      <w:r w:rsidRPr="0069530D">
        <w:rPr>
          <w:rFonts w:ascii="Garamond" w:hAnsi="Garamond"/>
          <w:lang w:val="en-US"/>
        </w:rPr>
        <w:t xml:space="preserve">, Yuval Harari’s </w:t>
      </w:r>
      <w:r w:rsidRPr="0069530D">
        <w:rPr>
          <w:rFonts w:ascii="Garamond" w:hAnsi="Garamond"/>
          <w:i/>
          <w:lang w:val="en-US"/>
        </w:rPr>
        <w:t>Homo Sapiens</w:t>
      </w:r>
      <w:r w:rsidRPr="0069530D">
        <w:rPr>
          <w:rFonts w:ascii="Garamond" w:hAnsi="Garamond"/>
          <w:lang w:val="en-US"/>
        </w:rPr>
        <w:t>)</w:t>
      </w:r>
      <w:r w:rsidR="00634007" w:rsidRPr="0069530D">
        <w:rPr>
          <w:rFonts w:ascii="Garamond" w:hAnsi="Garamond"/>
          <w:lang w:val="en-US"/>
        </w:rPr>
        <w:t xml:space="preserve">, </w:t>
      </w:r>
      <w:r w:rsidRPr="0069530D">
        <w:rPr>
          <w:rFonts w:ascii="Garamond" w:hAnsi="Garamond"/>
          <w:lang w:val="en-US"/>
        </w:rPr>
        <w:t xml:space="preserve">and respond to it from a Christian perspective. </w:t>
      </w:r>
      <w:r w:rsidR="00215407" w:rsidRPr="0069530D">
        <w:rPr>
          <w:rFonts w:ascii="Garamond" w:hAnsi="Garamond"/>
          <w:lang w:val="en-US"/>
        </w:rPr>
        <w:t xml:space="preserve">Have your topic/text approved by the professor beforehand. </w:t>
      </w:r>
    </w:p>
    <w:p w14:paraId="34A05D8F" w14:textId="77777777" w:rsidR="00B9048F" w:rsidRPr="00B9048F" w:rsidRDefault="00B9048F" w:rsidP="00B9048F">
      <w:pPr>
        <w:jc w:val="both"/>
        <w:rPr>
          <w:rFonts w:ascii="Garamond" w:hAnsi="Garamond"/>
          <w:lang w:val="en-US"/>
        </w:rPr>
      </w:pPr>
    </w:p>
    <w:p w14:paraId="766E1C16" w14:textId="44685FE2" w:rsidR="00B9048F" w:rsidRDefault="00B9048F" w:rsidP="00B9048F">
      <w:pPr>
        <w:pStyle w:val="ListParagraph"/>
        <w:numPr>
          <w:ilvl w:val="0"/>
          <w:numId w:val="1"/>
        </w:numPr>
        <w:jc w:val="both"/>
        <w:rPr>
          <w:rFonts w:ascii="Garamond" w:hAnsi="Garamond"/>
          <w:lang w:val="en-US"/>
        </w:rPr>
      </w:pPr>
      <w:proofErr w:type="spellStart"/>
      <w:r>
        <w:rPr>
          <w:rFonts w:ascii="Garamond" w:hAnsi="Garamond"/>
          <w:i/>
          <w:lang w:val="en-US"/>
        </w:rPr>
        <w:t>DoF</w:t>
      </w:r>
      <w:proofErr w:type="spellEnd"/>
      <w:r>
        <w:rPr>
          <w:rFonts w:ascii="Garamond" w:hAnsi="Garamond"/>
          <w:i/>
          <w:lang w:val="en-US"/>
        </w:rPr>
        <w:t xml:space="preserve"> </w:t>
      </w:r>
      <w:r>
        <w:rPr>
          <w:rFonts w:ascii="Garamond" w:hAnsi="Garamond"/>
          <w:lang w:val="en-US"/>
        </w:rPr>
        <w:t xml:space="preserve">Annotated Summary (30%): Students will wrote an annotated summary of Van Til’s </w:t>
      </w:r>
      <w:r>
        <w:rPr>
          <w:rFonts w:ascii="Garamond" w:hAnsi="Garamond"/>
          <w:i/>
          <w:lang w:val="en-US"/>
        </w:rPr>
        <w:t>Defense of the Faith</w:t>
      </w:r>
      <w:r>
        <w:rPr>
          <w:rFonts w:ascii="Garamond" w:hAnsi="Garamond"/>
          <w:lang w:val="en-US"/>
        </w:rPr>
        <w:t>. The summary will be divided into fourteen sections, in correspondence to the fourteen chapters in the book, and each section will be no more than 200 words, with footnotes not included in the word count. Your summary will thus be no more than 2800 words. For every sentence or two that you write, provide a citation that shows where from the text you are getting your claim</w:t>
      </w:r>
      <w:r w:rsidR="0069530D">
        <w:rPr>
          <w:rFonts w:ascii="Garamond" w:hAnsi="Garamond"/>
          <w:lang w:val="en-US"/>
        </w:rPr>
        <w:t>, and use the other reading material as additional material for your annotations</w:t>
      </w:r>
      <w:r>
        <w:rPr>
          <w:rFonts w:ascii="Garamond" w:hAnsi="Garamond"/>
          <w:lang w:val="en-US"/>
        </w:rPr>
        <w:t xml:space="preserve">. Van </w:t>
      </w:r>
      <w:proofErr w:type="spellStart"/>
      <w:r>
        <w:rPr>
          <w:rFonts w:ascii="Garamond" w:hAnsi="Garamond"/>
          <w:lang w:val="en-US"/>
        </w:rPr>
        <w:t>Til</w:t>
      </w:r>
      <w:proofErr w:type="spellEnd"/>
      <w:r>
        <w:rPr>
          <w:rFonts w:ascii="Garamond" w:hAnsi="Garamond"/>
          <w:lang w:val="en-US"/>
        </w:rPr>
        <w:t xml:space="preserve"> is notoriously difficult to grasp, and the point of this assignment is not that you would agree with everything he says, but that we would come to grips with his overall thought. </w:t>
      </w:r>
    </w:p>
    <w:p w14:paraId="12CEE4AD" w14:textId="36150CF3" w:rsidR="00B9048F" w:rsidRDefault="00B9048F" w:rsidP="00B9048F">
      <w:pPr>
        <w:pStyle w:val="ListParagraph"/>
        <w:numPr>
          <w:ilvl w:val="1"/>
          <w:numId w:val="1"/>
        </w:numPr>
        <w:jc w:val="both"/>
        <w:rPr>
          <w:rFonts w:ascii="Garamond" w:hAnsi="Garamond"/>
          <w:lang w:val="en-US"/>
        </w:rPr>
      </w:pPr>
      <w:r>
        <w:rPr>
          <w:rFonts w:ascii="Garamond" w:hAnsi="Garamond"/>
          <w:lang w:val="en-US"/>
        </w:rPr>
        <w:t xml:space="preserve">For a sample of the kind of work I am expecting, see, below, my own annotated summary of Descartes’s meditations. </w:t>
      </w:r>
    </w:p>
    <w:p w14:paraId="609E9B8B" w14:textId="77777777" w:rsidR="00B9048F" w:rsidRPr="00B9048F" w:rsidRDefault="00B9048F" w:rsidP="00B9048F">
      <w:pPr>
        <w:ind w:left="1080"/>
        <w:jc w:val="both"/>
        <w:rPr>
          <w:rFonts w:ascii="Garamond" w:hAnsi="Garamond"/>
          <w:lang w:val="en-US"/>
        </w:rPr>
      </w:pPr>
    </w:p>
    <w:p w14:paraId="7929CA4B" w14:textId="77AD56AB" w:rsidR="00A65EF1" w:rsidRDefault="00A65EF1" w:rsidP="00A65EF1">
      <w:pPr>
        <w:pStyle w:val="ListParagraph"/>
        <w:numPr>
          <w:ilvl w:val="0"/>
          <w:numId w:val="1"/>
        </w:numPr>
        <w:jc w:val="both"/>
        <w:rPr>
          <w:rFonts w:ascii="Garamond" w:hAnsi="Garamond"/>
          <w:lang w:val="en-US"/>
        </w:rPr>
      </w:pPr>
      <w:r>
        <w:rPr>
          <w:rFonts w:ascii="Garamond" w:hAnsi="Garamond"/>
          <w:lang w:val="en-US"/>
        </w:rPr>
        <w:t>Final Exam (30%)</w:t>
      </w:r>
    </w:p>
    <w:p w14:paraId="4DADBB12" w14:textId="059682BE" w:rsidR="00A65EF1" w:rsidRDefault="00A65EF1" w:rsidP="00A65EF1">
      <w:pPr>
        <w:pStyle w:val="ListParagraph"/>
        <w:numPr>
          <w:ilvl w:val="1"/>
          <w:numId w:val="1"/>
        </w:numPr>
        <w:jc w:val="both"/>
        <w:rPr>
          <w:rFonts w:ascii="Garamond" w:hAnsi="Garamond"/>
          <w:lang w:val="en-US"/>
        </w:rPr>
      </w:pPr>
      <w:r>
        <w:rPr>
          <w:rFonts w:ascii="Garamond" w:hAnsi="Garamond"/>
          <w:lang w:val="en-US"/>
        </w:rPr>
        <w:t>Short and long essay questions</w:t>
      </w:r>
      <w:r w:rsidR="00B9048F">
        <w:rPr>
          <w:rFonts w:ascii="Garamond" w:hAnsi="Garamond"/>
          <w:lang w:val="en-US"/>
        </w:rPr>
        <w:t xml:space="preserve"> covering the lecture and reading material. </w:t>
      </w:r>
    </w:p>
    <w:p w14:paraId="1CEE89FE" w14:textId="1025DF01" w:rsidR="00A65EF1" w:rsidRDefault="00A65EF1" w:rsidP="00A65EF1">
      <w:pPr>
        <w:pStyle w:val="ListParagraph"/>
        <w:numPr>
          <w:ilvl w:val="1"/>
          <w:numId w:val="1"/>
        </w:numPr>
        <w:jc w:val="both"/>
        <w:rPr>
          <w:rFonts w:ascii="Garamond" w:hAnsi="Garamond"/>
          <w:lang w:val="en-US"/>
        </w:rPr>
      </w:pPr>
      <w:r>
        <w:rPr>
          <w:rFonts w:ascii="Garamond" w:hAnsi="Garamond"/>
          <w:lang w:val="en-US"/>
        </w:rPr>
        <w:t>A study guide will be provided</w:t>
      </w:r>
    </w:p>
    <w:p w14:paraId="17E8F4BE" w14:textId="23ED098E" w:rsidR="00634007" w:rsidRDefault="00634007" w:rsidP="00634007">
      <w:pPr>
        <w:jc w:val="both"/>
        <w:rPr>
          <w:rFonts w:ascii="Garamond" w:hAnsi="Garamond"/>
          <w:lang w:val="en-US"/>
        </w:rPr>
      </w:pPr>
    </w:p>
    <w:p w14:paraId="1478D7F2" w14:textId="7B011C6D" w:rsidR="00634007" w:rsidRDefault="00634007" w:rsidP="00634007">
      <w:pPr>
        <w:jc w:val="both"/>
        <w:rPr>
          <w:rFonts w:ascii="Garamond" w:hAnsi="Garamond"/>
          <w:lang w:val="en-US"/>
        </w:rPr>
      </w:pPr>
    </w:p>
    <w:p w14:paraId="74AC86AB" w14:textId="54A5958A" w:rsidR="00634007" w:rsidRPr="00634007" w:rsidRDefault="00634007" w:rsidP="00634007">
      <w:pPr>
        <w:jc w:val="center"/>
        <w:rPr>
          <w:rFonts w:ascii="Garamond" w:hAnsi="Garamond"/>
          <w:b/>
          <w:lang w:val="en-US"/>
        </w:rPr>
      </w:pPr>
      <w:r w:rsidRPr="00634007">
        <w:rPr>
          <w:rFonts w:ascii="Garamond" w:hAnsi="Garamond"/>
          <w:b/>
          <w:lang w:val="en-US"/>
        </w:rPr>
        <w:t>Course Structure:</w:t>
      </w:r>
    </w:p>
    <w:p w14:paraId="2E109841" w14:textId="6F66BFBF" w:rsidR="00A65EF1" w:rsidRDefault="00A65EF1" w:rsidP="00A65EF1">
      <w:pPr>
        <w:jc w:val="both"/>
        <w:rPr>
          <w:rFonts w:ascii="Garamond" w:hAnsi="Garamond"/>
          <w:lang w:val="en-US"/>
        </w:rPr>
      </w:pPr>
    </w:p>
    <w:p w14:paraId="53D702D0" w14:textId="07406F3B" w:rsidR="00634007" w:rsidRDefault="00634007" w:rsidP="00634007">
      <w:pPr>
        <w:pStyle w:val="ListParagraph"/>
        <w:numPr>
          <w:ilvl w:val="0"/>
          <w:numId w:val="3"/>
        </w:numPr>
        <w:jc w:val="both"/>
        <w:rPr>
          <w:rFonts w:ascii="Garamond" w:hAnsi="Garamond"/>
          <w:lang w:val="en-US"/>
        </w:rPr>
      </w:pPr>
      <w:r>
        <w:rPr>
          <w:rFonts w:ascii="Garamond" w:hAnsi="Garamond"/>
          <w:lang w:val="en-US"/>
        </w:rPr>
        <w:t>Biblical Warrant for Apologetics</w:t>
      </w:r>
    </w:p>
    <w:p w14:paraId="4DF7EA92" w14:textId="7351ECCA" w:rsidR="00634007" w:rsidRDefault="00634007" w:rsidP="00634007">
      <w:pPr>
        <w:pStyle w:val="ListParagraph"/>
        <w:numPr>
          <w:ilvl w:val="0"/>
          <w:numId w:val="3"/>
        </w:numPr>
        <w:jc w:val="both"/>
        <w:rPr>
          <w:rFonts w:ascii="Garamond" w:hAnsi="Garamond"/>
          <w:lang w:val="en-US"/>
        </w:rPr>
      </w:pPr>
      <w:r>
        <w:rPr>
          <w:rFonts w:ascii="Garamond" w:hAnsi="Garamond"/>
          <w:lang w:val="en-US"/>
        </w:rPr>
        <w:t>The World: Secularism and. Secularization.</w:t>
      </w:r>
    </w:p>
    <w:p w14:paraId="28F5FBF8" w14:textId="5BD0303B" w:rsidR="00A25D38" w:rsidRDefault="00A25D38" w:rsidP="00A25D38">
      <w:pPr>
        <w:pStyle w:val="ListParagraph"/>
        <w:numPr>
          <w:ilvl w:val="1"/>
          <w:numId w:val="3"/>
        </w:numPr>
        <w:jc w:val="both"/>
        <w:rPr>
          <w:rFonts w:ascii="Garamond" w:hAnsi="Garamond"/>
          <w:lang w:val="en-US"/>
        </w:rPr>
      </w:pPr>
      <w:r>
        <w:rPr>
          <w:rFonts w:ascii="Garamond" w:hAnsi="Garamond"/>
          <w:lang w:val="en-US"/>
        </w:rPr>
        <w:t>Ethics without Theology and Metaphysics?</w:t>
      </w:r>
    </w:p>
    <w:p w14:paraId="6F88DF5E" w14:textId="71F47A98" w:rsidR="00A25D38" w:rsidRDefault="00A25D38" w:rsidP="00A25D38">
      <w:pPr>
        <w:pStyle w:val="ListParagraph"/>
        <w:numPr>
          <w:ilvl w:val="1"/>
          <w:numId w:val="3"/>
        </w:numPr>
        <w:jc w:val="both"/>
        <w:rPr>
          <w:rFonts w:ascii="Garamond" w:hAnsi="Garamond"/>
          <w:lang w:val="en-US"/>
        </w:rPr>
      </w:pPr>
      <w:r>
        <w:rPr>
          <w:rFonts w:ascii="Garamond" w:hAnsi="Garamond"/>
          <w:lang w:val="en-US"/>
        </w:rPr>
        <w:t xml:space="preserve">On “Common Sense” </w:t>
      </w:r>
    </w:p>
    <w:p w14:paraId="008A8113" w14:textId="291328A4" w:rsidR="00634007" w:rsidRDefault="00634007" w:rsidP="00634007">
      <w:pPr>
        <w:pStyle w:val="ListParagraph"/>
        <w:numPr>
          <w:ilvl w:val="0"/>
          <w:numId w:val="3"/>
        </w:numPr>
        <w:jc w:val="both"/>
        <w:rPr>
          <w:rFonts w:ascii="Garamond" w:hAnsi="Garamond"/>
          <w:lang w:val="en-US"/>
        </w:rPr>
      </w:pPr>
      <w:r>
        <w:rPr>
          <w:rFonts w:ascii="Garamond" w:hAnsi="Garamond"/>
          <w:lang w:val="en-US"/>
        </w:rPr>
        <w:t>Reformed Theology for Apologetics: Subversive Fulfillment and Disclosure/Homecoming</w:t>
      </w:r>
    </w:p>
    <w:p w14:paraId="43363B5C" w14:textId="7FFA9F5D" w:rsidR="00A25D38" w:rsidRPr="00A25D38" w:rsidRDefault="00634007" w:rsidP="00A25D38">
      <w:pPr>
        <w:pStyle w:val="ListParagraph"/>
        <w:numPr>
          <w:ilvl w:val="0"/>
          <w:numId w:val="3"/>
        </w:numPr>
        <w:jc w:val="both"/>
        <w:rPr>
          <w:rFonts w:ascii="Garamond" w:hAnsi="Garamond"/>
          <w:lang w:val="en-US"/>
        </w:rPr>
      </w:pPr>
      <w:r>
        <w:rPr>
          <w:rFonts w:ascii="Garamond" w:hAnsi="Garamond"/>
          <w:lang w:val="en-US"/>
        </w:rPr>
        <w:t>Principled Pluralism</w:t>
      </w:r>
    </w:p>
    <w:p w14:paraId="40119717" w14:textId="4CC0B9BB" w:rsidR="00634007" w:rsidRDefault="00634007" w:rsidP="00634007">
      <w:pPr>
        <w:pStyle w:val="ListParagraph"/>
        <w:numPr>
          <w:ilvl w:val="0"/>
          <w:numId w:val="3"/>
        </w:numPr>
        <w:jc w:val="both"/>
        <w:rPr>
          <w:rFonts w:ascii="Garamond" w:hAnsi="Garamond"/>
          <w:lang w:val="en-US"/>
        </w:rPr>
      </w:pPr>
      <w:r>
        <w:rPr>
          <w:rFonts w:ascii="Garamond" w:hAnsi="Garamond"/>
          <w:lang w:val="en-US"/>
        </w:rPr>
        <w:t xml:space="preserve">The Place of Natural Theology – Reformed Approaches </w:t>
      </w:r>
    </w:p>
    <w:p w14:paraId="18A21A05" w14:textId="6F0120B1" w:rsidR="00A25D38" w:rsidRDefault="00A25D38" w:rsidP="00634007">
      <w:pPr>
        <w:pStyle w:val="ListParagraph"/>
        <w:numPr>
          <w:ilvl w:val="0"/>
          <w:numId w:val="3"/>
        </w:numPr>
        <w:jc w:val="both"/>
        <w:rPr>
          <w:rFonts w:ascii="Garamond" w:hAnsi="Garamond"/>
          <w:lang w:val="en-US"/>
        </w:rPr>
      </w:pPr>
      <w:r>
        <w:rPr>
          <w:rFonts w:ascii="Garamond" w:hAnsi="Garamond"/>
          <w:lang w:val="en-US"/>
        </w:rPr>
        <w:t>God and Logic</w:t>
      </w:r>
    </w:p>
    <w:p w14:paraId="4FD4FB00" w14:textId="6DCFE008" w:rsidR="00634007" w:rsidRDefault="00634007" w:rsidP="00634007">
      <w:pPr>
        <w:pStyle w:val="ListParagraph"/>
        <w:numPr>
          <w:ilvl w:val="0"/>
          <w:numId w:val="3"/>
        </w:numPr>
        <w:jc w:val="both"/>
        <w:rPr>
          <w:rFonts w:ascii="Garamond" w:hAnsi="Garamond"/>
          <w:lang w:val="en-US"/>
        </w:rPr>
      </w:pPr>
      <w:r>
        <w:rPr>
          <w:rFonts w:ascii="Garamond" w:hAnsi="Garamond"/>
          <w:lang w:val="en-US"/>
        </w:rPr>
        <w:t>Arguments for God’s Existence</w:t>
      </w:r>
    </w:p>
    <w:p w14:paraId="5AD2774F" w14:textId="73FD5BC0" w:rsidR="00634007" w:rsidRDefault="00634007" w:rsidP="00634007">
      <w:pPr>
        <w:pStyle w:val="ListParagraph"/>
        <w:numPr>
          <w:ilvl w:val="1"/>
          <w:numId w:val="3"/>
        </w:numPr>
        <w:jc w:val="both"/>
        <w:rPr>
          <w:rFonts w:ascii="Garamond" w:hAnsi="Garamond"/>
          <w:lang w:val="en-US"/>
        </w:rPr>
      </w:pPr>
      <w:r>
        <w:rPr>
          <w:rFonts w:ascii="Garamond" w:hAnsi="Garamond"/>
          <w:lang w:val="en-US"/>
        </w:rPr>
        <w:t>Historical examples</w:t>
      </w:r>
    </w:p>
    <w:p w14:paraId="59B5C73D" w14:textId="1B3847CD" w:rsidR="00634007" w:rsidRDefault="00634007" w:rsidP="00634007">
      <w:pPr>
        <w:pStyle w:val="ListParagraph"/>
        <w:numPr>
          <w:ilvl w:val="1"/>
          <w:numId w:val="3"/>
        </w:numPr>
        <w:jc w:val="both"/>
        <w:rPr>
          <w:rFonts w:ascii="Garamond" w:hAnsi="Garamond"/>
          <w:lang w:val="en-US"/>
        </w:rPr>
      </w:pPr>
      <w:r>
        <w:rPr>
          <w:rFonts w:ascii="Garamond" w:hAnsi="Garamond"/>
          <w:lang w:val="en-US"/>
        </w:rPr>
        <w:t>Transcendental arguments</w:t>
      </w:r>
    </w:p>
    <w:p w14:paraId="093543AC" w14:textId="1ED49901" w:rsidR="00634007" w:rsidRDefault="00634007" w:rsidP="00634007">
      <w:pPr>
        <w:pStyle w:val="ListParagraph"/>
        <w:numPr>
          <w:ilvl w:val="0"/>
          <w:numId w:val="3"/>
        </w:numPr>
        <w:jc w:val="both"/>
        <w:rPr>
          <w:rFonts w:ascii="Garamond" w:hAnsi="Garamond"/>
          <w:lang w:val="en-US"/>
        </w:rPr>
      </w:pPr>
      <w:r>
        <w:rPr>
          <w:rFonts w:ascii="Garamond" w:hAnsi="Garamond"/>
          <w:lang w:val="en-US"/>
        </w:rPr>
        <w:t>Objections Against the Christian Faith</w:t>
      </w:r>
    </w:p>
    <w:p w14:paraId="5CFE74FB" w14:textId="3472D3C8" w:rsidR="00B9048F" w:rsidRDefault="00B9048F" w:rsidP="00B9048F">
      <w:pPr>
        <w:jc w:val="both"/>
        <w:rPr>
          <w:rFonts w:ascii="Garamond" w:hAnsi="Garamond"/>
          <w:lang w:val="en-US"/>
        </w:rPr>
      </w:pPr>
    </w:p>
    <w:p w14:paraId="34336A36" w14:textId="337E6931" w:rsidR="00B9048F" w:rsidRDefault="00B9048F" w:rsidP="00B9048F">
      <w:pPr>
        <w:jc w:val="both"/>
        <w:rPr>
          <w:rFonts w:ascii="Garamond" w:hAnsi="Garamond"/>
          <w:lang w:val="en-US"/>
        </w:rPr>
      </w:pPr>
    </w:p>
    <w:p w14:paraId="52D24B93" w14:textId="68AA1706" w:rsidR="00B9048F" w:rsidRDefault="00B9048F" w:rsidP="00B9048F">
      <w:pPr>
        <w:jc w:val="both"/>
        <w:rPr>
          <w:rFonts w:ascii="Garamond" w:hAnsi="Garamond"/>
          <w:lang w:val="en-US"/>
        </w:rPr>
      </w:pPr>
    </w:p>
    <w:p w14:paraId="60422C1A" w14:textId="4D23BB27" w:rsidR="00B9048F" w:rsidRDefault="00B9048F" w:rsidP="00B9048F">
      <w:pPr>
        <w:jc w:val="center"/>
        <w:rPr>
          <w:rFonts w:ascii="Garamond" w:hAnsi="Garamond"/>
          <w:b/>
          <w:i/>
          <w:lang w:val="en-US"/>
        </w:rPr>
      </w:pPr>
      <w:r w:rsidRPr="00B9048F">
        <w:rPr>
          <w:rFonts w:ascii="Garamond" w:hAnsi="Garamond"/>
          <w:b/>
          <w:lang w:val="en-US"/>
        </w:rPr>
        <w:t>Sample Annotated Summary</w:t>
      </w:r>
      <w:r>
        <w:rPr>
          <w:rFonts w:ascii="Garamond" w:hAnsi="Garamond"/>
          <w:b/>
          <w:lang w:val="en-US"/>
        </w:rPr>
        <w:t xml:space="preserve">: Descartes’ </w:t>
      </w:r>
      <w:r>
        <w:rPr>
          <w:rFonts w:ascii="Garamond" w:hAnsi="Garamond"/>
          <w:b/>
          <w:i/>
          <w:lang w:val="en-US"/>
        </w:rPr>
        <w:t>Meditations</w:t>
      </w:r>
    </w:p>
    <w:p w14:paraId="476C0552" w14:textId="77777777" w:rsidR="00B9048F" w:rsidRPr="0073574A" w:rsidRDefault="00B9048F" w:rsidP="00B9048F">
      <w:pPr>
        <w:rPr>
          <w:rFonts w:ascii="Garamond" w:hAnsi="Garamond"/>
        </w:rPr>
      </w:pPr>
    </w:p>
    <w:p w14:paraId="1614FC59" w14:textId="77777777" w:rsidR="00B9048F" w:rsidRPr="0073574A" w:rsidRDefault="00B9048F" w:rsidP="00B9048F">
      <w:pPr>
        <w:jc w:val="center"/>
        <w:rPr>
          <w:rFonts w:ascii="Garamond" w:hAnsi="Garamond"/>
          <w:i/>
        </w:rPr>
      </w:pPr>
      <w:r w:rsidRPr="0073574A">
        <w:rPr>
          <w:rFonts w:ascii="Garamond" w:hAnsi="Garamond"/>
          <w:i/>
        </w:rPr>
        <w:t>Descartes’s Meditations Under 1000 Words: An Annotated Summary</w:t>
      </w:r>
    </w:p>
    <w:p w14:paraId="3E21A8D7" w14:textId="77777777" w:rsidR="00B9048F" w:rsidRPr="0073574A" w:rsidRDefault="00B9048F" w:rsidP="00B9048F">
      <w:pPr>
        <w:jc w:val="center"/>
        <w:rPr>
          <w:rFonts w:ascii="Garamond" w:hAnsi="Garamond"/>
          <w:i/>
        </w:rPr>
      </w:pPr>
    </w:p>
    <w:p w14:paraId="2C571706" w14:textId="77777777" w:rsidR="00B9048F" w:rsidRPr="0073574A" w:rsidRDefault="00B9048F" w:rsidP="00B9048F">
      <w:pPr>
        <w:rPr>
          <w:rFonts w:ascii="Garamond" w:hAnsi="Garamond"/>
        </w:rPr>
      </w:pPr>
      <w:r w:rsidRPr="0073574A">
        <w:rPr>
          <w:rFonts w:ascii="Garamond" w:hAnsi="Garamond"/>
        </w:rPr>
        <w:lastRenderedPageBreak/>
        <w:t>Pages refer to Descartes</w:t>
      </w:r>
      <w:r>
        <w:rPr>
          <w:rFonts w:ascii="Garamond" w:hAnsi="Garamond"/>
        </w:rPr>
        <w:t>,</w:t>
      </w:r>
      <w:r w:rsidRPr="0073574A">
        <w:rPr>
          <w:rFonts w:ascii="Garamond" w:hAnsi="Garamond"/>
        </w:rPr>
        <w:t xml:space="preserve"> ‘Meditations on First Philosophy’ in </w:t>
      </w:r>
      <w:r w:rsidRPr="0073574A">
        <w:rPr>
          <w:rFonts w:ascii="Garamond" w:hAnsi="Garamond"/>
          <w:i/>
        </w:rPr>
        <w:t>Modern Philosophy: An Anthology of Primary Sources</w:t>
      </w:r>
      <w:r w:rsidRPr="0073574A">
        <w:rPr>
          <w:rFonts w:ascii="Garamond" w:hAnsi="Garamond"/>
        </w:rPr>
        <w:t>. 2</w:t>
      </w:r>
      <w:r w:rsidRPr="0073574A">
        <w:rPr>
          <w:rFonts w:ascii="Garamond" w:hAnsi="Garamond"/>
          <w:vertAlign w:val="superscript"/>
        </w:rPr>
        <w:t>nd</w:t>
      </w:r>
      <w:r w:rsidRPr="0073574A">
        <w:rPr>
          <w:rFonts w:ascii="Garamond" w:hAnsi="Garamond"/>
        </w:rPr>
        <w:t xml:space="preserve"> ed. Roge</w:t>
      </w:r>
      <w:r>
        <w:rPr>
          <w:rFonts w:ascii="Garamond" w:hAnsi="Garamond"/>
        </w:rPr>
        <w:t xml:space="preserve">r </w:t>
      </w:r>
      <w:proofErr w:type="spellStart"/>
      <w:r>
        <w:rPr>
          <w:rFonts w:ascii="Garamond" w:hAnsi="Garamond"/>
        </w:rPr>
        <w:t>Ariew</w:t>
      </w:r>
      <w:proofErr w:type="spellEnd"/>
      <w:r>
        <w:rPr>
          <w:rFonts w:ascii="Garamond" w:hAnsi="Garamond"/>
        </w:rPr>
        <w:t xml:space="preserve"> and Eric Watkins (eds.)</w:t>
      </w:r>
      <w:r w:rsidRPr="0073574A">
        <w:rPr>
          <w:rFonts w:ascii="Garamond" w:hAnsi="Garamond"/>
        </w:rPr>
        <w:t xml:space="preserve"> </w:t>
      </w:r>
      <w:r>
        <w:rPr>
          <w:rFonts w:ascii="Garamond" w:hAnsi="Garamond"/>
        </w:rPr>
        <w:t>(</w:t>
      </w:r>
      <w:r w:rsidRPr="0073574A">
        <w:rPr>
          <w:rFonts w:ascii="Garamond" w:hAnsi="Garamond"/>
        </w:rPr>
        <w:t xml:space="preserve">Cambridge: Hackett, 2009), pp. 35-68. </w:t>
      </w:r>
    </w:p>
    <w:p w14:paraId="241B0FA2" w14:textId="77777777" w:rsidR="00B9048F" w:rsidRPr="0073574A" w:rsidRDefault="00B9048F" w:rsidP="00B9048F">
      <w:pPr>
        <w:rPr>
          <w:rFonts w:ascii="Garamond" w:hAnsi="Garamond"/>
        </w:rPr>
      </w:pPr>
    </w:p>
    <w:p w14:paraId="3D337425" w14:textId="77777777" w:rsidR="00B9048F" w:rsidRPr="0073574A" w:rsidRDefault="00B9048F" w:rsidP="00B9048F">
      <w:pPr>
        <w:rPr>
          <w:rFonts w:ascii="Garamond" w:hAnsi="Garamond"/>
          <w:b/>
        </w:rPr>
      </w:pPr>
      <w:r w:rsidRPr="0073574A">
        <w:rPr>
          <w:rFonts w:ascii="Garamond" w:hAnsi="Garamond"/>
          <w:b/>
        </w:rPr>
        <w:t>Summary Statement and the First Meditation</w:t>
      </w:r>
    </w:p>
    <w:p w14:paraId="79FB956A" w14:textId="77777777" w:rsidR="00B9048F" w:rsidRPr="0073574A" w:rsidRDefault="00B9048F" w:rsidP="00B9048F">
      <w:pPr>
        <w:rPr>
          <w:rFonts w:ascii="Garamond" w:hAnsi="Garamond"/>
          <w:b/>
        </w:rPr>
      </w:pPr>
    </w:p>
    <w:p w14:paraId="43A00BE1" w14:textId="77777777" w:rsidR="00B9048F" w:rsidRDefault="00B9048F" w:rsidP="00B9048F">
      <w:pPr>
        <w:rPr>
          <w:rFonts w:ascii="Garamond" w:hAnsi="Garamond"/>
        </w:rPr>
      </w:pPr>
      <w:r w:rsidRPr="0073574A">
        <w:rPr>
          <w:rFonts w:ascii="Garamond" w:hAnsi="Garamond"/>
        </w:rPr>
        <w:tab/>
        <w:t xml:space="preserve">Descartes’ </w:t>
      </w:r>
      <w:r w:rsidRPr="0073574A">
        <w:rPr>
          <w:rFonts w:ascii="Garamond" w:hAnsi="Garamond"/>
          <w:i/>
        </w:rPr>
        <w:t xml:space="preserve">Meditation </w:t>
      </w:r>
      <w:r w:rsidRPr="0073574A">
        <w:rPr>
          <w:rFonts w:ascii="Garamond" w:hAnsi="Garamond"/>
        </w:rPr>
        <w:t>is an attempt to find a</w:t>
      </w:r>
      <w:r>
        <w:rPr>
          <w:rFonts w:ascii="Garamond" w:hAnsi="Garamond"/>
        </w:rPr>
        <w:t>n incorrigible foundation of knowledge for the purpose of rebuilding one’s noetic structure</w:t>
      </w:r>
      <w:r w:rsidRPr="0073574A">
        <w:rPr>
          <w:rFonts w:ascii="Garamond" w:hAnsi="Garamond"/>
        </w:rPr>
        <w:t>. Descartes’ first meditation serves this goal, as he puts to doubt all of his assumed knowledge</w:t>
      </w:r>
      <w:r w:rsidRPr="0073574A">
        <w:rPr>
          <w:rStyle w:val="FootnoteReference"/>
          <w:rFonts w:ascii="Garamond" w:hAnsi="Garamond"/>
        </w:rPr>
        <w:footnoteReference w:id="1"/>
      </w:r>
      <w:r w:rsidRPr="0073574A">
        <w:rPr>
          <w:rFonts w:ascii="Garamond" w:hAnsi="Garamond"/>
        </w:rPr>
        <w:t xml:space="preserve"> in an attempt to discover one indubitable idea that can serve as </w:t>
      </w:r>
      <w:r>
        <w:rPr>
          <w:rFonts w:ascii="Garamond" w:hAnsi="Garamond"/>
        </w:rPr>
        <w:t>that epistemic foundation</w:t>
      </w:r>
      <w:r w:rsidRPr="0073574A">
        <w:rPr>
          <w:rFonts w:ascii="Garamond" w:hAnsi="Garamond"/>
        </w:rPr>
        <w:t>.</w:t>
      </w:r>
      <w:r w:rsidRPr="0073574A">
        <w:rPr>
          <w:rStyle w:val="FootnoteReference"/>
          <w:rFonts w:ascii="Garamond" w:hAnsi="Garamond"/>
        </w:rPr>
        <w:footnoteReference w:id="2"/>
      </w:r>
      <w:r w:rsidRPr="0073574A">
        <w:rPr>
          <w:rFonts w:ascii="Garamond" w:hAnsi="Garamond"/>
        </w:rPr>
        <w:t xml:space="preserve"> Descartes</w:t>
      </w:r>
      <w:r>
        <w:rPr>
          <w:rFonts w:ascii="Garamond" w:hAnsi="Garamond"/>
        </w:rPr>
        <w:t xml:space="preserve"> first </w:t>
      </w:r>
      <w:r w:rsidRPr="0073574A">
        <w:rPr>
          <w:rFonts w:ascii="Garamond" w:hAnsi="Garamond"/>
        </w:rPr>
        <w:t>tries to do this by doubting anything that can be known through the senses</w:t>
      </w:r>
      <w:r w:rsidRPr="0073574A">
        <w:rPr>
          <w:rStyle w:val="FootnoteReference"/>
          <w:rFonts w:ascii="Garamond" w:hAnsi="Garamond"/>
        </w:rPr>
        <w:footnoteReference w:id="3"/>
      </w:r>
      <w:r w:rsidRPr="0073574A">
        <w:rPr>
          <w:rFonts w:ascii="Garamond" w:hAnsi="Garamond"/>
        </w:rPr>
        <w:t xml:space="preserve">, </w:t>
      </w:r>
      <w:r>
        <w:rPr>
          <w:rFonts w:ascii="Garamond" w:hAnsi="Garamond"/>
        </w:rPr>
        <w:t xml:space="preserve">as he infers from past experience that the sense perception may be deceiving. </w:t>
      </w:r>
      <w:r w:rsidRPr="0073574A">
        <w:rPr>
          <w:rFonts w:ascii="Garamond" w:hAnsi="Garamond"/>
        </w:rPr>
        <w:t xml:space="preserve">Yet he discovers that the ideas yielded by the senses are trustworthy so long </w:t>
      </w:r>
      <w:r>
        <w:rPr>
          <w:rFonts w:ascii="Garamond" w:hAnsi="Garamond"/>
        </w:rPr>
        <w:t>as normal conditions obtain</w:t>
      </w:r>
      <w:r w:rsidRPr="0073574A">
        <w:rPr>
          <w:rFonts w:ascii="Garamond" w:hAnsi="Garamond"/>
        </w:rPr>
        <w:t>.</w:t>
      </w:r>
      <w:r w:rsidRPr="0073574A">
        <w:rPr>
          <w:rStyle w:val="FootnoteReference"/>
          <w:rFonts w:ascii="Garamond" w:hAnsi="Garamond"/>
        </w:rPr>
        <w:footnoteReference w:id="4"/>
      </w:r>
      <w:r w:rsidRPr="0073574A">
        <w:rPr>
          <w:rFonts w:ascii="Garamond" w:hAnsi="Garamond"/>
        </w:rPr>
        <w:t xml:space="preserve"> Descartes continues by positing that perhaps everything he experiences is but a dream</w:t>
      </w:r>
      <w:r w:rsidRPr="0073574A">
        <w:rPr>
          <w:rStyle w:val="FootnoteReference"/>
          <w:rFonts w:ascii="Garamond" w:hAnsi="Garamond"/>
        </w:rPr>
        <w:footnoteReference w:id="5"/>
      </w:r>
      <w:r w:rsidRPr="0073574A">
        <w:rPr>
          <w:rFonts w:ascii="Garamond" w:hAnsi="Garamond"/>
        </w:rPr>
        <w:t>, for in his dreams he had felt before that he was awake.</w:t>
      </w:r>
      <w:r w:rsidRPr="0073574A">
        <w:rPr>
          <w:rStyle w:val="FootnoteReference"/>
          <w:rFonts w:ascii="Garamond" w:hAnsi="Garamond"/>
        </w:rPr>
        <w:footnoteReference w:id="6"/>
      </w:r>
      <w:r w:rsidRPr="0073574A">
        <w:rPr>
          <w:rFonts w:ascii="Garamond" w:hAnsi="Garamond"/>
        </w:rPr>
        <w:t xml:space="preserve"> Even though more opinions are discarded this way, arithmetic and mathematical truths would still be certain.</w:t>
      </w:r>
      <w:r w:rsidRPr="0073574A">
        <w:rPr>
          <w:rStyle w:val="FootnoteReference"/>
          <w:rFonts w:ascii="Garamond" w:hAnsi="Garamond"/>
        </w:rPr>
        <w:footnoteReference w:id="7"/>
      </w:r>
      <w:r w:rsidRPr="0073574A">
        <w:rPr>
          <w:rFonts w:ascii="Garamond" w:hAnsi="Garamond"/>
        </w:rPr>
        <w:t xml:space="preserve"> To put even those into doubt, Descartes argues that perhaps he is a product of an evil genius that has designed him to be deceived about arithmetical axioms and the physical universe.</w:t>
      </w:r>
      <w:r w:rsidRPr="0073574A">
        <w:rPr>
          <w:rStyle w:val="FootnoteReference"/>
          <w:rFonts w:ascii="Garamond" w:hAnsi="Garamond"/>
        </w:rPr>
        <w:footnoteReference w:id="8"/>
      </w:r>
    </w:p>
    <w:p w14:paraId="6DF480B1" w14:textId="77777777" w:rsidR="00B9048F" w:rsidRPr="0073574A" w:rsidRDefault="00B9048F" w:rsidP="00B9048F">
      <w:pPr>
        <w:rPr>
          <w:rFonts w:ascii="Garamond" w:hAnsi="Garamond"/>
        </w:rPr>
      </w:pPr>
    </w:p>
    <w:p w14:paraId="57F9EADA" w14:textId="77777777" w:rsidR="00B9048F" w:rsidRPr="0073574A" w:rsidRDefault="00B9048F" w:rsidP="00B9048F">
      <w:pPr>
        <w:rPr>
          <w:rFonts w:ascii="Garamond" w:hAnsi="Garamond"/>
        </w:rPr>
      </w:pPr>
    </w:p>
    <w:p w14:paraId="29B3A468" w14:textId="77777777" w:rsidR="00B9048F" w:rsidRPr="0073574A" w:rsidRDefault="00B9048F" w:rsidP="00B9048F">
      <w:pPr>
        <w:rPr>
          <w:rFonts w:ascii="Garamond" w:hAnsi="Garamond"/>
          <w:b/>
        </w:rPr>
      </w:pPr>
      <w:r w:rsidRPr="0073574A">
        <w:rPr>
          <w:rFonts w:ascii="Garamond" w:hAnsi="Garamond"/>
          <w:b/>
        </w:rPr>
        <w:t>Second Meditation</w:t>
      </w:r>
    </w:p>
    <w:p w14:paraId="6BB7033E" w14:textId="77777777" w:rsidR="00B9048F" w:rsidRPr="0073574A" w:rsidRDefault="00B9048F" w:rsidP="00B9048F">
      <w:pPr>
        <w:rPr>
          <w:rFonts w:ascii="Garamond" w:hAnsi="Garamond"/>
          <w:b/>
        </w:rPr>
      </w:pPr>
    </w:p>
    <w:p w14:paraId="67045D14" w14:textId="77777777" w:rsidR="00B9048F" w:rsidRPr="0073574A" w:rsidRDefault="00B9048F" w:rsidP="00B9048F">
      <w:pPr>
        <w:rPr>
          <w:rFonts w:ascii="Garamond" w:hAnsi="Garamond"/>
        </w:rPr>
      </w:pPr>
      <w:r>
        <w:rPr>
          <w:rFonts w:ascii="Garamond" w:hAnsi="Garamond"/>
        </w:rPr>
        <w:tab/>
        <w:t xml:space="preserve">Descartes successfully subjects </w:t>
      </w:r>
      <w:r w:rsidRPr="0073574A">
        <w:rPr>
          <w:rFonts w:ascii="Garamond" w:hAnsi="Garamond"/>
        </w:rPr>
        <w:t>all of his knowledge into doubt, but realizes that a doubter presupposes a subject who doubts, and so long as one is thinking, even when he is deceived, there can be no doubt that the one who thinks exists.</w:t>
      </w:r>
      <w:r w:rsidRPr="0073574A">
        <w:rPr>
          <w:rStyle w:val="FootnoteReference"/>
          <w:rFonts w:ascii="Garamond" w:hAnsi="Garamond"/>
        </w:rPr>
        <w:footnoteReference w:id="9"/>
      </w:r>
      <w:r w:rsidRPr="0073574A">
        <w:rPr>
          <w:rFonts w:ascii="Garamond" w:hAnsi="Garamond"/>
        </w:rPr>
        <w:t xml:space="preserve"> So since the existence of a body or a soul has been put into doubt, Descartes concludes that he is essentially a thinking being.</w:t>
      </w:r>
      <w:r w:rsidRPr="0073574A">
        <w:rPr>
          <w:rStyle w:val="FootnoteReference"/>
          <w:rFonts w:ascii="Garamond" w:hAnsi="Garamond"/>
        </w:rPr>
        <w:footnoteReference w:id="10"/>
      </w:r>
      <w:r w:rsidRPr="0073574A">
        <w:rPr>
          <w:rFonts w:ascii="Garamond" w:hAnsi="Garamond"/>
        </w:rPr>
        <w:t xml:space="preserve"> He then specifies that it is f</w:t>
      </w:r>
      <w:r>
        <w:rPr>
          <w:rFonts w:ascii="Garamond" w:hAnsi="Garamond"/>
        </w:rPr>
        <w:t xml:space="preserve">rom the mind, not the senses or </w:t>
      </w:r>
      <w:r w:rsidRPr="0073574A">
        <w:rPr>
          <w:rFonts w:ascii="Garamond" w:hAnsi="Garamond"/>
        </w:rPr>
        <w:t xml:space="preserve">imagination, that he has discovered </w:t>
      </w:r>
      <w:r w:rsidRPr="0073574A">
        <w:rPr>
          <w:rFonts w:ascii="Garamond" w:hAnsi="Garamond"/>
        </w:rPr>
        <w:lastRenderedPageBreak/>
        <w:t>his existence.</w:t>
      </w:r>
      <w:r w:rsidRPr="0073574A">
        <w:rPr>
          <w:rStyle w:val="FootnoteReference"/>
          <w:rFonts w:ascii="Garamond" w:hAnsi="Garamond"/>
        </w:rPr>
        <w:footnoteReference w:id="11"/>
      </w:r>
      <w:r w:rsidRPr="0073574A">
        <w:rPr>
          <w:rFonts w:ascii="Garamond" w:hAnsi="Garamond"/>
        </w:rPr>
        <w:t xml:space="preserve"> To support this, Descartes observes that the meaning of wax is derived </w:t>
      </w:r>
      <w:r>
        <w:rPr>
          <w:rFonts w:ascii="Garamond" w:hAnsi="Garamond"/>
        </w:rPr>
        <w:t>from the mind</w:t>
      </w:r>
      <w:r w:rsidRPr="0073574A">
        <w:rPr>
          <w:rStyle w:val="FootnoteReference"/>
          <w:rFonts w:ascii="Garamond" w:hAnsi="Garamond"/>
        </w:rPr>
        <w:footnoteReference w:id="12"/>
      </w:r>
      <w:r w:rsidRPr="0073574A">
        <w:rPr>
          <w:rFonts w:ascii="Garamond" w:hAnsi="Garamond"/>
        </w:rPr>
        <w:t>, for wax is still understood to be wa</w:t>
      </w:r>
      <w:r>
        <w:rPr>
          <w:rFonts w:ascii="Garamond" w:hAnsi="Garamond"/>
        </w:rPr>
        <w:t>x even when the senses perceive</w:t>
      </w:r>
      <w:r w:rsidRPr="0073574A">
        <w:rPr>
          <w:rFonts w:ascii="Garamond" w:hAnsi="Garamond"/>
        </w:rPr>
        <w:t xml:space="preserve"> it to have changed forms. Therefore, only through the mind can one judge that wax remains wax in its many </w:t>
      </w:r>
      <w:r>
        <w:rPr>
          <w:rFonts w:ascii="Garamond" w:hAnsi="Garamond"/>
        </w:rPr>
        <w:t>modes</w:t>
      </w:r>
      <w:r w:rsidRPr="0073574A">
        <w:rPr>
          <w:rFonts w:ascii="Garamond" w:hAnsi="Garamond"/>
        </w:rPr>
        <w:t>, confirming that the mind is the prime faculty through which a human makes judgments.</w:t>
      </w:r>
      <w:r w:rsidRPr="0073574A">
        <w:rPr>
          <w:rStyle w:val="FootnoteReference"/>
          <w:rFonts w:ascii="Garamond" w:hAnsi="Garamond"/>
        </w:rPr>
        <w:footnoteReference w:id="13"/>
      </w:r>
      <w:r w:rsidRPr="0073574A">
        <w:rPr>
          <w:rFonts w:ascii="Garamond" w:hAnsi="Garamond"/>
        </w:rPr>
        <w:t xml:space="preserve"> For, though the wax might be an illusion, it cannot be doubted that he perceives the wax with his mind.</w:t>
      </w:r>
      <w:r w:rsidRPr="0073574A">
        <w:rPr>
          <w:rStyle w:val="FootnoteReference"/>
          <w:rFonts w:ascii="Garamond" w:hAnsi="Garamond"/>
        </w:rPr>
        <w:footnoteReference w:id="14"/>
      </w:r>
      <w:r w:rsidRPr="0073574A">
        <w:rPr>
          <w:rFonts w:ascii="Garamond" w:hAnsi="Garamond"/>
        </w:rPr>
        <w:t xml:space="preserve"> Hence, Descartes concludes that the mind is a supreme faculty above the senses and imagination, as things are perceived only as they are intellectually grasped.</w:t>
      </w:r>
      <w:r w:rsidRPr="0073574A">
        <w:rPr>
          <w:rStyle w:val="FootnoteReference"/>
          <w:rFonts w:ascii="Garamond" w:hAnsi="Garamond"/>
        </w:rPr>
        <w:footnoteReference w:id="15"/>
      </w:r>
    </w:p>
    <w:p w14:paraId="2D73B656" w14:textId="77777777" w:rsidR="00B9048F" w:rsidRPr="0073574A" w:rsidRDefault="00B9048F" w:rsidP="00B9048F">
      <w:pPr>
        <w:rPr>
          <w:rFonts w:ascii="Garamond" w:hAnsi="Garamond"/>
        </w:rPr>
      </w:pPr>
    </w:p>
    <w:p w14:paraId="4B26D490" w14:textId="77777777" w:rsidR="00B9048F" w:rsidRPr="0073574A" w:rsidRDefault="00B9048F" w:rsidP="00B9048F">
      <w:pPr>
        <w:rPr>
          <w:rFonts w:ascii="Garamond" w:hAnsi="Garamond"/>
          <w:b/>
        </w:rPr>
      </w:pPr>
      <w:r w:rsidRPr="0073574A">
        <w:rPr>
          <w:rFonts w:ascii="Garamond" w:hAnsi="Garamond"/>
          <w:b/>
        </w:rPr>
        <w:t>Third Meditation</w:t>
      </w:r>
    </w:p>
    <w:p w14:paraId="2BB5718E" w14:textId="77777777" w:rsidR="00B9048F" w:rsidRPr="0073574A" w:rsidRDefault="00B9048F" w:rsidP="00B9048F">
      <w:pPr>
        <w:rPr>
          <w:rFonts w:ascii="Garamond" w:hAnsi="Garamond"/>
        </w:rPr>
      </w:pPr>
      <w:r w:rsidRPr="0073574A">
        <w:rPr>
          <w:rFonts w:ascii="Garamond" w:hAnsi="Garamond"/>
        </w:rPr>
        <w:tab/>
        <w:t>The third meditation is the beginning of Descartes’ attempt to rebuild knowledge with the proposition “I exist as a thinking being” as his foundation. However, to believe in anything with certainty, Descartes must argue that his perceptions can be trusted.</w:t>
      </w:r>
      <w:r w:rsidRPr="0073574A">
        <w:rPr>
          <w:rStyle w:val="FootnoteReference"/>
          <w:rFonts w:ascii="Garamond" w:hAnsi="Garamond"/>
        </w:rPr>
        <w:footnoteReference w:id="16"/>
      </w:r>
      <w:r w:rsidRPr="0073574A">
        <w:rPr>
          <w:rFonts w:ascii="Garamond" w:hAnsi="Garamond"/>
        </w:rPr>
        <w:t xml:space="preserve"> To do this, Descartes turns to the existence of God and his nature in order to see whether it is possible that a malevolent deceiver designed human faculties.</w:t>
      </w:r>
      <w:r w:rsidRPr="0073574A">
        <w:rPr>
          <w:rStyle w:val="FootnoteReference"/>
          <w:rFonts w:ascii="Garamond" w:hAnsi="Garamond"/>
        </w:rPr>
        <w:footnoteReference w:id="17"/>
      </w:r>
      <w:r w:rsidRPr="0073574A">
        <w:rPr>
          <w:rFonts w:ascii="Garamond" w:hAnsi="Garamond"/>
        </w:rPr>
        <w:t xml:space="preserve"> After distinguishing between ideas and judgments,</w:t>
      </w:r>
      <w:r w:rsidRPr="0073574A">
        <w:rPr>
          <w:rStyle w:val="FootnoteReference"/>
          <w:rFonts w:ascii="Garamond" w:hAnsi="Garamond"/>
        </w:rPr>
        <w:footnoteReference w:id="18"/>
      </w:r>
      <w:r w:rsidRPr="0073574A">
        <w:rPr>
          <w:rFonts w:ascii="Garamond" w:hAnsi="Garamond"/>
        </w:rPr>
        <w:t xml:space="preserve"> and showing how one can err by judging that one’s ideas are identical t</w:t>
      </w:r>
      <w:r>
        <w:rPr>
          <w:rFonts w:ascii="Garamond" w:hAnsi="Garamond"/>
        </w:rPr>
        <w:t>o extramental objects</w:t>
      </w:r>
      <w:r w:rsidRPr="0073574A">
        <w:rPr>
          <w:rFonts w:ascii="Garamond" w:hAnsi="Garamond"/>
        </w:rPr>
        <w:t>,</w:t>
      </w:r>
      <w:r w:rsidRPr="0073574A">
        <w:rPr>
          <w:rStyle w:val="FootnoteReference"/>
          <w:rFonts w:ascii="Garamond" w:hAnsi="Garamond"/>
        </w:rPr>
        <w:footnoteReference w:id="19"/>
      </w:r>
      <w:r w:rsidRPr="0073574A">
        <w:rPr>
          <w:rFonts w:ascii="Garamond" w:hAnsi="Garamond"/>
        </w:rPr>
        <w:t xml:space="preserve"> Descartes argues that there must be a reality outside of oneself that causes the ideas one conceives. For some conceived ideas come involuntarily, and a cause must have elicited the conception of those ideas.</w:t>
      </w:r>
      <w:r w:rsidRPr="0073574A">
        <w:rPr>
          <w:rStyle w:val="FootnoteReference"/>
          <w:rFonts w:ascii="Garamond" w:hAnsi="Garamond"/>
        </w:rPr>
        <w:footnoteReference w:id="20"/>
      </w:r>
      <w:r w:rsidRPr="0073574A">
        <w:rPr>
          <w:rFonts w:ascii="Garamond" w:hAnsi="Garamond"/>
        </w:rPr>
        <w:t xml:space="preserve"> This cause must be either greater or equal to the effect it </w:t>
      </w:r>
      <w:r w:rsidRPr="0073574A">
        <w:rPr>
          <w:rFonts w:ascii="Garamond" w:hAnsi="Garamond"/>
        </w:rPr>
        <w:lastRenderedPageBreak/>
        <w:t>produces.</w:t>
      </w:r>
      <w:r w:rsidRPr="0073574A">
        <w:rPr>
          <w:rStyle w:val="FootnoteReference"/>
          <w:rFonts w:ascii="Garamond" w:hAnsi="Garamond"/>
        </w:rPr>
        <w:footnoteReference w:id="21"/>
      </w:r>
      <w:r w:rsidRPr="0073574A">
        <w:rPr>
          <w:rFonts w:ascii="Garamond" w:hAnsi="Garamond"/>
        </w:rPr>
        <w:t xml:space="preserve"> Many ideas could easily have come from oneself,</w:t>
      </w:r>
      <w:r w:rsidRPr="0073574A">
        <w:rPr>
          <w:rStyle w:val="FootnoteReference"/>
          <w:rFonts w:ascii="Garamond" w:hAnsi="Garamond"/>
        </w:rPr>
        <w:footnoteReference w:id="22"/>
      </w:r>
      <w:r w:rsidRPr="0073574A">
        <w:rPr>
          <w:rFonts w:ascii="Garamond" w:hAnsi="Garamond"/>
        </w:rPr>
        <w:t xml:space="preserve"> however, since finite creatures cannot have conceived the idea of an infinite being, God, the highest form of reality and the only infinite and perfect being, must necessarily exist as the cause of that idea.</w:t>
      </w:r>
      <w:r w:rsidRPr="0073574A">
        <w:rPr>
          <w:rStyle w:val="FootnoteReference"/>
          <w:rFonts w:ascii="Garamond" w:hAnsi="Garamond"/>
        </w:rPr>
        <w:footnoteReference w:id="23"/>
      </w:r>
      <w:r w:rsidRPr="0073574A">
        <w:rPr>
          <w:rFonts w:ascii="Garamond" w:hAnsi="Garamond"/>
        </w:rPr>
        <w:t xml:space="preserve"> Also, since to deceive is </w:t>
      </w:r>
      <w:r>
        <w:rPr>
          <w:rFonts w:ascii="Garamond" w:hAnsi="Garamond"/>
        </w:rPr>
        <w:t>an act of</w:t>
      </w:r>
      <w:r w:rsidRPr="0073574A">
        <w:rPr>
          <w:rFonts w:ascii="Garamond" w:hAnsi="Garamond"/>
        </w:rPr>
        <w:t xml:space="preserve"> imperfection, it follows that God cannot be a deceiver.</w:t>
      </w:r>
      <w:r w:rsidRPr="0073574A">
        <w:rPr>
          <w:rStyle w:val="FootnoteReference"/>
          <w:rFonts w:ascii="Garamond" w:hAnsi="Garamond"/>
        </w:rPr>
        <w:footnoteReference w:id="24"/>
      </w:r>
    </w:p>
    <w:p w14:paraId="6AD214DF" w14:textId="77777777" w:rsidR="00B9048F" w:rsidRPr="0073574A" w:rsidRDefault="00B9048F" w:rsidP="00B9048F">
      <w:pPr>
        <w:rPr>
          <w:rFonts w:ascii="Garamond" w:hAnsi="Garamond"/>
        </w:rPr>
      </w:pPr>
    </w:p>
    <w:p w14:paraId="1877A95F" w14:textId="77777777" w:rsidR="00B9048F" w:rsidRPr="0073574A" w:rsidRDefault="00B9048F" w:rsidP="00B9048F">
      <w:pPr>
        <w:rPr>
          <w:rFonts w:ascii="Garamond" w:hAnsi="Garamond"/>
          <w:b/>
        </w:rPr>
      </w:pPr>
      <w:r w:rsidRPr="0073574A">
        <w:rPr>
          <w:rFonts w:ascii="Garamond" w:hAnsi="Garamond"/>
          <w:b/>
        </w:rPr>
        <w:t>Fourth Meditation</w:t>
      </w:r>
    </w:p>
    <w:p w14:paraId="41A96CD1" w14:textId="77777777" w:rsidR="00B9048F" w:rsidRPr="0073574A" w:rsidRDefault="00B9048F" w:rsidP="00B9048F">
      <w:pPr>
        <w:rPr>
          <w:rFonts w:ascii="Garamond" w:hAnsi="Garamond"/>
          <w:b/>
        </w:rPr>
      </w:pPr>
    </w:p>
    <w:p w14:paraId="1BC05675" w14:textId="77777777" w:rsidR="00B9048F" w:rsidRPr="0073574A" w:rsidRDefault="00B9048F" w:rsidP="00B9048F">
      <w:pPr>
        <w:rPr>
          <w:rFonts w:ascii="Garamond" w:hAnsi="Garamond"/>
        </w:rPr>
      </w:pPr>
      <w:r w:rsidRPr="0073574A">
        <w:rPr>
          <w:rFonts w:ascii="Garamond" w:hAnsi="Garamond"/>
          <w:b/>
        </w:rPr>
        <w:tab/>
      </w:r>
      <w:r w:rsidRPr="0073574A">
        <w:rPr>
          <w:rFonts w:ascii="Garamond" w:hAnsi="Garamond"/>
        </w:rPr>
        <w:t>Since God is no deceiver, the God-given faculties that one has were designed to be inerrant, though finite.</w:t>
      </w:r>
      <w:r w:rsidRPr="0073574A">
        <w:rPr>
          <w:rStyle w:val="FootnoteReference"/>
          <w:rFonts w:ascii="Garamond" w:hAnsi="Garamond"/>
        </w:rPr>
        <w:footnoteReference w:id="25"/>
      </w:r>
      <w:r w:rsidRPr="0073574A">
        <w:rPr>
          <w:rFonts w:ascii="Garamond" w:hAnsi="Garamond"/>
        </w:rPr>
        <w:t xml:space="preserve"> However, since humans </w:t>
      </w:r>
      <w:r>
        <w:rPr>
          <w:rFonts w:ascii="Garamond" w:hAnsi="Garamond"/>
        </w:rPr>
        <w:t>possess</w:t>
      </w:r>
      <w:r w:rsidRPr="0073574A">
        <w:rPr>
          <w:rFonts w:ascii="Garamond" w:hAnsi="Garamond"/>
        </w:rPr>
        <w:t xml:space="preserve"> limited </w:t>
      </w:r>
      <w:r>
        <w:rPr>
          <w:rFonts w:ascii="Garamond" w:hAnsi="Garamond"/>
        </w:rPr>
        <w:t>noetic</w:t>
      </w:r>
      <w:r w:rsidRPr="0073574A">
        <w:rPr>
          <w:rFonts w:ascii="Garamond" w:hAnsi="Garamond"/>
        </w:rPr>
        <w:t xml:space="preserve"> capacities</w:t>
      </w:r>
      <w:r w:rsidRPr="0073574A">
        <w:rPr>
          <w:rStyle w:val="FootnoteReference"/>
          <w:rFonts w:ascii="Garamond" w:hAnsi="Garamond"/>
        </w:rPr>
        <w:footnoteReference w:id="26"/>
      </w:r>
      <w:r w:rsidRPr="0073574A">
        <w:rPr>
          <w:rFonts w:ascii="Garamond" w:hAnsi="Garamond"/>
        </w:rPr>
        <w:t xml:space="preserve">, and are endowed with </w:t>
      </w:r>
      <w:r>
        <w:rPr>
          <w:rFonts w:ascii="Garamond" w:hAnsi="Garamond"/>
        </w:rPr>
        <w:t>unlimited free will,</w:t>
      </w:r>
      <w:r w:rsidRPr="0073574A">
        <w:rPr>
          <w:rFonts w:ascii="Garamond" w:hAnsi="Garamond"/>
        </w:rPr>
        <w:t xml:space="preserve"> errors will be made for </w:t>
      </w:r>
      <w:r>
        <w:rPr>
          <w:rFonts w:ascii="Garamond" w:hAnsi="Garamond"/>
        </w:rPr>
        <w:t>the</w:t>
      </w:r>
      <w:r w:rsidRPr="0073574A">
        <w:rPr>
          <w:rFonts w:ascii="Garamond" w:hAnsi="Garamond"/>
        </w:rPr>
        <w:t xml:space="preserve"> will may choose beyond the limitations of one’s knowledge.</w:t>
      </w:r>
      <w:r w:rsidRPr="0073574A">
        <w:rPr>
          <w:rStyle w:val="FootnoteReference"/>
          <w:rFonts w:ascii="Garamond" w:hAnsi="Garamond"/>
        </w:rPr>
        <w:footnoteReference w:id="27"/>
      </w:r>
      <w:r w:rsidRPr="0073574A">
        <w:rPr>
          <w:rFonts w:ascii="Garamond" w:hAnsi="Garamond"/>
        </w:rPr>
        <w:t xml:space="preserve"> Therefore, to avoid erring, one must ensure that </w:t>
      </w:r>
      <w:r>
        <w:rPr>
          <w:rFonts w:ascii="Garamond" w:hAnsi="Garamond"/>
        </w:rPr>
        <w:t>all the relevant truths are grasped before making</w:t>
      </w:r>
      <w:r w:rsidRPr="0073574A">
        <w:rPr>
          <w:rFonts w:ascii="Garamond" w:hAnsi="Garamond"/>
        </w:rPr>
        <w:t xml:space="preserve"> decisions.</w:t>
      </w:r>
      <w:r w:rsidRPr="0073574A">
        <w:rPr>
          <w:rStyle w:val="FootnoteReference"/>
          <w:rFonts w:ascii="Garamond" w:hAnsi="Garamond"/>
        </w:rPr>
        <w:footnoteReference w:id="28"/>
      </w:r>
      <w:r w:rsidRPr="0073574A">
        <w:rPr>
          <w:rFonts w:ascii="Garamond" w:hAnsi="Garamond"/>
        </w:rPr>
        <w:t xml:space="preserve"> One might question why God deemed it best to create finite creatures, but it is not in the place of humans to question his wisdom</w:t>
      </w:r>
      <w:r w:rsidRPr="0073574A">
        <w:rPr>
          <w:rStyle w:val="FootnoteReference"/>
          <w:rFonts w:ascii="Garamond" w:hAnsi="Garamond"/>
        </w:rPr>
        <w:footnoteReference w:id="29"/>
      </w:r>
      <w:r>
        <w:rPr>
          <w:rFonts w:ascii="Garamond" w:hAnsi="Garamond"/>
        </w:rPr>
        <w:t>, and rational creatures</w:t>
      </w:r>
      <w:r w:rsidRPr="0073574A">
        <w:rPr>
          <w:rFonts w:ascii="Garamond" w:hAnsi="Garamond"/>
        </w:rPr>
        <w:t xml:space="preserve"> should be </w:t>
      </w:r>
      <w:r>
        <w:rPr>
          <w:rFonts w:ascii="Garamond" w:hAnsi="Garamond"/>
        </w:rPr>
        <w:t>thankful that their free will reflects</w:t>
      </w:r>
      <w:r w:rsidRPr="0073574A">
        <w:rPr>
          <w:rFonts w:ascii="Garamond" w:hAnsi="Garamond"/>
        </w:rPr>
        <w:t xml:space="preserve"> </w:t>
      </w:r>
      <w:r>
        <w:rPr>
          <w:rFonts w:ascii="Garamond" w:hAnsi="Garamond"/>
        </w:rPr>
        <w:t>their creation in the image of God</w:t>
      </w:r>
      <w:r w:rsidRPr="0073574A">
        <w:rPr>
          <w:rFonts w:ascii="Garamond" w:hAnsi="Garamond"/>
        </w:rPr>
        <w:t>.</w:t>
      </w:r>
      <w:r w:rsidRPr="0073574A">
        <w:rPr>
          <w:rStyle w:val="FootnoteReference"/>
          <w:rFonts w:ascii="Garamond" w:hAnsi="Garamond"/>
        </w:rPr>
        <w:footnoteReference w:id="30"/>
      </w:r>
    </w:p>
    <w:p w14:paraId="3CC199C0" w14:textId="77777777" w:rsidR="00B9048F" w:rsidRPr="0073574A" w:rsidRDefault="00B9048F" w:rsidP="00B9048F">
      <w:pPr>
        <w:rPr>
          <w:rFonts w:ascii="Garamond" w:hAnsi="Garamond"/>
        </w:rPr>
      </w:pPr>
    </w:p>
    <w:p w14:paraId="6A342D05" w14:textId="77777777" w:rsidR="00B9048F" w:rsidRPr="0073574A" w:rsidRDefault="00B9048F" w:rsidP="00B9048F">
      <w:pPr>
        <w:rPr>
          <w:rFonts w:ascii="Garamond" w:hAnsi="Garamond"/>
        </w:rPr>
      </w:pPr>
    </w:p>
    <w:p w14:paraId="6EB00396" w14:textId="77777777" w:rsidR="00B9048F" w:rsidRPr="0073574A" w:rsidRDefault="00B9048F" w:rsidP="00B9048F">
      <w:pPr>
        <w:rPr>
          <w:rFonts w:ascii="Garamond" w:hAnsi="Garamond"/>
          <w:b/>
        </w:rPr>
      </w:pPr>
      <w:r w:rsidRPr="0073574A">
        <w:rPr>
          <w:rFonts w:ascii="Garamond" w:hAnsi="Garamond"/>
          <w:b/>
        </w:rPr>
        <w:t>Fifth Meditation</w:t>
      </w:r>
    </w:p>
    <w:p w14:paraId="71868B79" w14:textId="77777777" w:rsidR="00B9048F" w:rsidRPr="0073574A" w:rsidRDefault="00B9048F" w:rsidP="00B9048F">
      <w:pPr>
        <w:rPr>
          <w:rFonts w:ascii="Garamond" w:hAnsi="Garamond"/>
          <w:b/>
        </w:rPr>
      </w:pPr>
      <w:r w:rsidRPr="0073574A">
        <w:rPr>
          <w:rFonts w:ascii="Garamond" w:hAnsi="Garamond"/>
          <w:b/>
        </w:rPr>
        <w:tab/>
      </w:r>
    </w:p>
    <w:p w14:paraId="24811CB2" w14:textId="391612FC" w:rsidR="00B9048F" w:rsidRPr="00B9048F" w:rsidRDefault="00B9048F" w:rsidP="00B9048F">
      <w:pPr>
        <w:rPr>
          <w:rFonts w:ascii="Garamond" w:hAnsi="Garamond"/>
        </w:rPr>
      </w:pPr>
      <w:r w:rsidRPr="0073574A">
        <w:rPr>
          <w:rFonts w:ascii="Garamond" w:hAnsi="Garamond"/>
          <w:b/>
        </w:rPr>
        <w:tab/>
      </w:r>
      <w:r w:rsidRPr="0073574A">
        <w:rPr>
          <w:rFonts w:ascii="Garamond" w:hAnsi="Garamond"/>
        </w:rPr>
        <w:t>Descartes asserts that some ideas exist even when they only reside within the human mind, such as that of the triangle.</w:t>
      </w:r>
      <w:r w:rsidRPr="0073574A">
        <w:rPr>
          <w:rStyle w:val="FootnoteReference"/>
          <w:rFonts w:ascii="Garamond" w:hAnsi="Garamond"/>
        </w:rPr>
        <w:footnoteReference w:id="31"/>
      </w:r>
      <w:r w:rsidRPr="0073574A">
        <w:rPr>
          <w:rFonts w:ascii="Garamond" w:hAnsi="Garamond"/>
        </w:rPr>
        <w:t xml:space="preserve"> When one can perceive indubitably the essential features of some idea in the mind, those essential features actually do belong to that idea; just as the triangle is perceived </w:t>
      </w:r>
      <w:r>
        <w:rPr>
          <w:rFonts w:ascii="Garamond" w:hAnsi="Garamond"/>
        </w:rPr>
        <w:t xml:space="preserve">necessarily to possess three sides. </w:t>
      </w:r>
      <w:r w:rsidRPr="0073574A">
        <w:rPr>
          <w:rFonts w:ascii="Garamond" w:hAnsi="Garamond"/>
        </w:rPr>
        <w:t>By analogy, Descartes argues that the idea of God too is perceived clearly in the mind.</w:t>
      </w:r>
      <w:r w:rsidRPr="0073574A">
        <w:rPr>
          <w:rStyle w:val="FootnoteReference"/>
          <w:rFonts w:ascii="Garamond" w:hAnsi="Garamond"/>
        </w:rPr>
        <w:footnoteReference w:id="32"/>
      </w:r>
      <w:r w:rsidRPr="0073574A">
        <w:rPr>
          <w:rFonts w:ascii="Garamond" w:hAnsi="Garamond"/>
        </w:rPr>
        <w:t xml:space="preserve"> Such is Descartes’ ontological argument: since Descartes </w:t>
      </w:r>
      <w:r w:rsidRPr="0073574A">
        <w:rPr>
          <w:rFonts w:ascii="Garamond" w:hAnsi="Garamond"/>
        </w:rPr>
        <w:lastRenderedPageBreak/>
        <w:t xml:space="preserve">cannot fathom the idea of a God </w:t>
      </w:r>
      <w:r>
        <w:rPr>
          <w:rFonts w:ascii="Garamond" w:hAnsi="Garamond"/>
        </w:rPr>
        <w:t>that lacks the</w:t>
      </w:r>
      <w:r w:rsidRPr="0073574A">
        <w:rPr>
          <w:rFonts w:ascii="Garamond" w:hAnsi="Garamond"/>
        </w:rPr>
        <w:t xml:space="preserve"> ontological property of existing, it follows that God necessarily exists.</w:t>
      </w:r>
      <w:r w:rsidRPr="0073574A">
        <w:rPr>
          <w:rStyle w:val="FootnoteReference"/>
          <w:rFonts w:ascii="Garamond" w:hAnsi="Garamond"/>
        </w:rPr>
        <w:footnoteReference w:id="33"/>
      </w:r>
      <w:r w:rsidRPr="0073574A">
        <w:rPr>
          <w:rFonts w:ascii="Garamond" w:hAnsi="Garamond"/>
        </w:rPr>
        <w:t xml:space="preserve"> Descartes then argues that what can be perceived in clarity yields what is necessarily true, for a God who is no deceiver exists and he has created creatures with an intellect that can perceive truth without error.</w:t>
      </w:r>
      <w:r w:rsidRPr="0073574A">
        <w:rPr>
          <w:rStyle w:val="FootnoteReference"/>
          <w:rFonts w:ascii="Garamond" w:hAnsi="Garamond"/>
        </w:rPr>
        <w:footnoteReference w:id="34"/>
      </w:r>
      <w:r w:rsidRPr="0073574A">
        <w:rPr>
          <w:rFonts w:ascii="Garamond" w:hAnsi="Garamond"/>
        </w:rPr>
        <w:t xml:space="preserve"> Therefore it is possible for one to acquire true knowledge about God, </w:t>
      </w:r>
      <w:r>
        <w:rPr>
          <w:rFonts w:ascii="Garamond" w:hAnsi="Garamond"/>
        </w:rPr>
        <w:t xml:space="preserve">along with </w:t>
      </w:r>
      <w:r w:rsidRPr="0073574A">
        <w:rPr>
          <w:rFonts w:ascii="Garamond" w:hAnsi="Garamond"/>
        </w:rPr>
        <w:t>the physical, intellectual and arithmetical realms.</w:t>
      </w:r>
      <w:r w:rsidRPr="0073574A">
        <w:rPr>
          <w:rStyle w:val="FootnoteReference"/>
          <w:rFonts w:ascii="Garamond" w:hAnsi="Garamond"/>
        </w:rPr>
        <w:footnoteReference w:id="35"/>
      </w:r>
    </w:p>
    <w:p w14:paraId="32D88E27" w14:textId="38D23833" w:rsidR="00B9048F" w:rsidRDefault="00B9048F" w:rsidP="00B9048F">
      <w:pPr>
        <w:rPr>
          <w:rFonts w:ascii="Garamond" w:hAnsi="Garamond"/>
          <w:b/>
          <w:lang w:val="en-US"/>
        </w:rPr>
      </w:pPr>
    </w:p>
    <w:p w14:paraId="73C2C1AF" w14:textId="77777777" w:rsidR="00B9048F" w:rsidRPr="00B9048F" w:rsidRDefault="00B9048F" w:rsidP="00B9048F">
      <w:pPr>
        <w:rPr>
          <w:rFonts w:ascii="Garamond" w:hAnsi="Garamond"/>
          <w:b/>
          <w:lang w:val="en-US"/>
        </w:rPr>
      </w:pPr>
    </w:p>
    <w:p w14:paraId="4FEF9FE6" w14:textId="3B16B376" w:rsidR="00634007" w:rsidRDefault="00634007" w:rsidP="00634007">
      <w:pPr>
        <w:jc w:val="both"/>
        <w:rPr>
          <w:rFonts w:ascii="Garamond" w:hAnsi="Garamond"/>
          <w:lang w:val="en-US"/>
        </w:rPr>
      </w:pPr>
    </w:p>
    <w:p w14:paraId="70EF7F38" w14:textId="10E81FC4" w:rsidR="00634007" w:rsidRDefault="00634007" w:rsidP="00634007">
      <w:pPr>
        <w:jc w:val="center"/>
        <w:rPr>
          <w:rFonts w:ascii="Garamond" w:hAnsi="Garamond"/>
          <w:b/>
          <w:lang w:val="en-US"/>
        </w:rPr>
      </w:pPr>
      <w:r>
        <w:rPr>
          <w:rFonts w:ascii="Garamond" w:hAnsi="Garamond"/>
          <w:b/>
          <w:lang w:val="en-US"/>
        </w:rPr>
        <w:t>Select Bibliography</w:t>
      </w:r>
    </w:p>
    <w:p w14:paraId="34174EB6" w14:textId="7D3371E8" w:rsidR="00634007" w:rsidRDefault="00634007" w:rsidP="00634007">
      <w:pPr>
        <w:jc w:val="center"/>
        <w:rPr>
          <w:rFonts w:ascii="Garamond" w:hAnsi="Garamond"/>
          <w:b/>
          <w:lang w:val="en-US"/>
        </w:rPr>
      </w:pPr>
    </w:p>
    <w:p w14:paraId="6AE991C9" w14:textId="0DC76AD9" w:rsidR="00634007" w:rsidRPr="00634007" w:rsidRDefault="00634007" w:rsidP="00634007">
      <w:pPr>
        <w:rPr>
          <w:rFonts w:ascii="Garamond" w:hAnsi="Garamond"/>
          <w:lang w:val="en-US"/>
        </w:rPr>
      </w:pPr>
      <w:r>
        <w:rPr>
          <w:rFonts w:ascii="Garamond" w:hAnsi="Garamond"/>
          <w:lang w:val="en-US"/>
        </w:rPr>
        <w:t xml:space="preserve">Mark Allen and Joshua Chatraw, </w:t>
      </w:r>
      <w:r>
        <w:rPr>
          <w:rFonts w:ascii="Garamond" w:hAnsi="Garamond"/>
          <w:i/>
          <w:lang w:val="en-US"/>
        </w:rPr>
        <w:t xml:space="preserve">Apologetics at the Cross: An Introduction for Christian Witness </w:t>
      </w:r>
      <w:r>
        <w:rPr>
          <w:rFonts w:ascii="Garamond" w:hAnsi="Garamond"/>
          <w:lang w:val="en-US"/>
        </w:rPr>
        <w:t>(Zondervan, 2018)</w:t>
      </w:r>
    </w:p>
    <w:p w14:paraId="7B2E3C0E" w14:textId="3A84BD99" w:rsidR="00634007" w:rsidRDefault="00634007" w:rsidP="00634007">
      <w:pPr>
        <w:rPr>
          <w:rFonts w:ascii="Garamond" w:hAnsi="Garamond"/>
          <w:lang w:val="en-US"/>
        </w:rPr>
      </w:pPr>
      <w:r>
        <w:rPr>
          <w:rFonts w:ascii="Garamond" w:hAnsi="Garamond"/>
          <w:lang w:val="en-US"/>
        </w:rPr>
        <w:t xml:space="preserve">James Anderson, </w:t>
      </w:r>
      <w:r>
        <w:rPr>
          <w:rFonts w:ascii="Garamond" w:hAnsi="Garamond"/>
          <w:i/>
          <w:lang w:val="en-US"/>
        </w:rPr>
        <w:t xml:space="preserve">Paradox in Christian Theology: An Analysis of its Presence, Character, and Epistemic Status </w:t>
      </w:r>
      <w:r>
        <w:rPr>
          <w:rFonts w:ascii="Garamond" w:hAnsi="Garamond"/>
          <w:lang w:val="en-US"/>
        </w:rPr>
        <w:t>(Paternoster, 2007)</w:t>
      </w:r>
    </w:p>
    <w:p w14:paraId="18B8C711" w14:textId="7D244C1D" w:rsidR="00634007" w:rsidRPr="00634007" w:rsidRDefault="00634007" w:rsidP="00634007">
      <w:pPr>
        <w:rPr>
          <w:rFonts w:ascii="Garamond" w:hAnsi="Garamond"/>
          <w:lang w:val="en-US"/>
        </w:rPr>
      </w:pPr>
      <w:r>
        <w:rPr>
          <w:rFonts w:ascii="Garamond" w:hAnsi="Garamond"/>
          <w:lang w:val="en-US"/>
        </w:rPr>
        <w:t xml:space="preserve">James Anderson, </w:t>
      </w:r>
      <w:r>
        <w:rPr>
          <w:rFonts w:ascii="Garamond" w:hAnsi="Garamond"/>
          <w:i/>
          <w:lang w:val="en-US"/>
        </w:rPr>
        <w:t>Why Should I Believe in Christianity?</w:t>
      </w:r>
      <w:r>
        <w:rPr>
          <w:rFonts w:ascii="Garamond" w:hAnsi="Garamond"/>
          <w:lang w:val="en-US"/>
        </w:rPr>
        <w:t xml:space="preserve"> (Christian Focus, 2018)</w:t>
      </w:r>
    </w:p>
    <w:p w14:paraId="24317741" w14:textId="010E8E93" w:rsidR="00634007" w:rsidRDefault="00634007" w:rsidP="00634007">
      <w:pPr>
        <w:rPr>
          <w:rFonts w:ascii="Garamond" w:hAnsi="Garamond"/>
          <w:lang w:val="en-US"/>
        </w:rPr>
      </w:pPr>
      <w:r>
        <w:rPr>
          <w:rFonts w:ascii="Garamond" w:hAnsi="Garamond"/>
          <w:lang w:val="en-US"/>
        </w:rPr>
        <w:t xml:space="preserve">Greg </w:t>
      </w:r>
      <w:proofErr w:type="spellStart"/>
      <w:r>
        <w:rPr>
          <w:rFonts w:ascii="Garamond" w:hAnsi="Garamond"/>
          <w:lang w:val="en-US"/>
        </w:rPr>
        <w:t>Bahnsen</w:t>
      </w:r>
      <w:proofErr w:type="spellEnd"/>
      <w:r>
        <w:rPr>
          <w:rFonts w:ascii="Garamond" w:hAnsi="Garamond"/>
          <w:lang w:val="en-US"/>
        </w:rPr>
        <w:t xml:space="preserve">, </w:t>
      </w:r>
      <w:r>
        <w:rPr>
          <w:rFonts w:ascii="Garamond" w:hAnsi="Garamond"/>
          <w:i/>
          <w:lang w:val="en-US"/>
        </w:rPr>
        <w:t>Van Til’s Apologetic: Readings and Analysis</w:t>
      </w:r>
      <w:r>
        <w:rPr>
          <w:rFonts w:ascii="Garamond" w:hAnsi="Garamond"/>
          <w:lang w:val="en-US"/>
        </w:rPr>
        <w:t xml:space="preserve"> (P&amp;R, 1998). </w:t>
      </w:r>
    </w:p>
    <w:p w14:paraId="2AE38BED" w14:textId="1DF5257C" w:rsidR="00634007" w:rsidRDefault="00634007" w:rsidP="00634007">
      <w:pPr>
        <w:rPr>
          <w:rFonts w:ascii="Garamond" w:hAnsi="Garamond"/>
          <w:lang w:val="en-US"/>
        </w:rPr>
      </w:pPr>
      <w:r>
        <w:rPr>
          <w:rFonts w:ascii="Garamond" w:hAnsi="Garamond"/>
          <w:lang w:val="en-US"/>
        </w:rPr>
        <w:t xml:space="preserve">Craig Bartholomew, </w:t>
      </w:r>
      <w:r>
        <w:rPr>
          <w:rFonts w:ascii="Garamond" w:hAnsi="Garamond"/>
          <w:i/>
          <w:lang w:val="en-US"/>
        </w:rPr>
        <w:t xml:space="preserve">Contours of the </w:t>
      </w:r>
      <w:proofErr w:type="spellStart"/>
      <w:r>
        <w:rPr>
          <w:rFonts w:ascii="Garamond" w:hAnsi="Garamond"/>
          <w:i/>
          <w:lang w:val="en-US"/>
        </w:rPr>
        <w:t>Kuyperian</w:t>
      </w:r>
      <w:proofErr w:type="spellEnd"/>
      <w:r>
        <w:rPr>
          <w:rFonts w:ascii="Garamond" w:hAnsi="Garamond"/>
          <w:i/>
          <w:lang w:val="en-US"/>
        </w:rPr>
        <w:t xml:space="preserve"> Tradition </w:t>
      </w:r>
      <w:r>
        <w:rPr>
          <w:rFonts w:ascii="Garamond" w:hAnsi="Garamond"/>
          <w:lang w:val="en-US"/>
        </w:rPr>
        <w:t>(IVP, 2017)</w:t>
      </w:r>
    </w:p>
    <w:p w14:paraId="60ABCC8D" w14:textId="3D7DA97D" w:rsidR="00634007" w:rsidRPr="00634007" w:rsidRDefault="00634007" w:rsidP="00634007">
      <w:pPr>
        <w:rPr>
          <w:rFonts w:ascii="Garamond" w:hAnsi="Garamond"/>
          <w:lang w:val="en-US"/>
        </w:rPr>
      </w:pPr>
      <w:proofErr w:type="spellStart"/>
      <w:r>
        <w:rPr>
          <w:rFonts w:ascii="Garamond" w:hAnsi="Garamond"/>
          <w:lang w:val="en-US"/>
        </w:rPr>
        <w:t>Heman</w:t>
      </w:r>
      <w:proofErr w:type="spellEnd"/>
      <w:r>
        <w:rPr>
          <w:rFonts w:ascii="Garamond" w:hAnsi="Garamond"/>
          <w:lang w:val="en-US"/>
        </w:rPr>
        <w:t xml:space="preserve"> Bavinck, </w:t>
      </w:r>
      <w:r>
        <w:rPr>
          <w:rFonts w:ascii="Garamond" w:hAnsi="Garamond"/>
          <w:i/>
          <w:lang w:val="en-US"/>
        </w:rPr>
        <w:t>Christian Worldview</w:t>
      </w:r>
      <w:r>
        <w:rPr>
          <w:rFonts w:ascii="Garamond" w:hAnsi="Garamond"/>
          <w:lang w:val="en-US"/>
        </w:rPr>
        <w:t xml:space="preserve">, eds. N. Gray </w:t>
      </w:r>
      <w:proofErr w:type="spellStart"/>
      <w:r>
        <w:rPr>
          <w:rFonts w:ascii="Garamond" w:hAnsi="Garamond"/>
          <w:lang w:val="en-US"/>
        </w:rPr>
        <w:t>Sutanto</w:t>
      </w:r>
      <w:proofErr w:type="spellEnd"/>
      <w:r>
        <w:rPr>
          <w:rFonts w:ascii="Garamond" w:hAnsi="Garamond"/>
          <w:lang w:val="en-US"/>
        </w:rPr>
        <w:t xml:space="preserve">, James </w:t>
      </w:r>
      <w:proofErr w:type="spellStart"/>
      <w:r>
        <w:rPr>
          <w:rFonts w:ascii="Garamond" w:hAnsi="Garamond"/>
          <w:lang w:val="en-US"/>
        </w:rPr>
        <w:t>Eglinton</w:t>
      </w:r>
      <w:proofErr w:type="spellEnd"/>
      <w:r>
        <w:rPr>
          <w:rFonts w:ascii="Garamond" w:hAnsi="Garamond"/>
          <w:lang w:val="en-US"/>
        </w:rPr>
        <w:t>, and Cory Brock (Crossway, 2019)</w:t>
      </w:r>
    </w:p>
    <w:p w14:paraId="69BC44D6" w14:textId="20315F10" w:rsidR="00634007" w:rsidRDefault="00634007" w:rsidP="00634007">
      <w:pPr>
        <w:rPr>
          <w:rFonts w:ascii="Garamond" w:hAnsi="Garamond"/>
          <w:lang w:val="en-US"/>
        </w:rPr>
      </w:pPr>
      <w:r>
        <w:rPr>
          <w:rFonts w:ascii="Garamond" w:hAnsi="Garamond"/>
          <w:lang w:val="en-US"/>
        </w:rPr>
        <w:t xml:space="preserve">Herman Bavinck, </w:t>
      </w:r>
      <w:r>
        <w:rPr>
          <w:rFonts w:ascii="Garamond" w:hAnsi="Garamond"/>
          <w:i/>
          <w:lang w:val="en-US"/>
        </w:rPr>
        <w:t>Philosophy of Revelation: A New Annotated Edition</w:t>
      </w:r>
      <w:r>
        <w:rPr>
          <w:rFonts w:ascii="Garamond" w:hAnsi="Garamond"/>
          <w:lang w:val="en-US"/>
        </w:rPr>
        <w:t xml:space="preserve">, eds. Cory Brock and N. Gray </w:t>
      </w:r>
      <w:proofErr w:type="spellStart"/>
      <w:r>
        <w:rPr>
          <w:rFonts w:ascii="Garamond" w:hAnsi="Garamond"/>
          <w:lang w:val="en-US"/>
        </w:rPr>
        <w:t>Sutanto</w:t>
      </w:r>
      <w:proofErr w:type="spellEnd"/>
      <w:r>
        <w:rPr>
          <w:rFonts w:ascii="Garamond" w:hAnsi="Garamond"/>
          <w:i/>
          <w:lang w:val="en-US"/>
        </w:rPr>
        <w:t xml:space="preserve"> </w:t>
      </w:r>
      <w:r>
        <w:rPr>
          <w:rFonts w:ascii="Garamond" w:hAnsi="Garamond"/>
          <w:lang w:val="en-US"/>
        </w:rPr>
        <w:t xml:space="preserve">(Hendrickson, 2018). </w:t>
      </w:r>
    </w:p>
    <w:p w14:paraId="2118AE7F" w14:textId="371F60DA" w:rsidR="00634007" w:rsidRDefault="00634007" w:rsidP="00634007">
      <w:pPr>
        <w:rPr>
          <w:rFonts w:ascii="Garamond" w:hAnsi="Garamond"/>
          <w:lang w:val="en-US"/>
        </w:rPr>
      </w:pPr>
      <w:r>
        <w:rPr>
          <w:rFonts w:ascii="Garamond" w:hAnsi="Garamond"/>
          <w:lang w:val="en-US"/>
        </w:rPr>
        <w:t xml:space="preserve">Johan Bavinck, </w:t>
      </w:r>
      <w:r>
        <w:rPr>
          <w:rFonts w:ascii="Garamond" w:hAnsi="Garamond"/>
          <w:i/>
          <w:lang w:val="en-US"/>
        </w:rPr>
        <w:t>Johan Bavinck Reader</w:t>
      </w:r>
      <w:r>
        <w:rPr>
          <w:rFonts w:ascii="Garamond" w:hAnsi="Garamond"/>
          <w:lang w:val="en-US"/>
        </w:rPr>
        <w:t xml:space="preserve"> (Eerdmans, 2013)</w:t>
      </w:r>
    </w:p>
    <w:p w14:paraId="49D362F0" w14:textId="5115481A" w:rsidR="00634007" w:rsidRDefault="00634007" w:rsidP="00634007">
      <w:pPr>
        <w:rPr>
          <w:rFonts w:ascii="Garamond" w:hAnsi="Garamond"/>
          <w:lang w:val="en-US"/>
        </w:rPr>
      </w:pPr>
      <w:r>
        <w:rPr>
          <w:rFonts w:ascii="Garamond" w:hAnsi="Garamond"/>
          <w:lang w:val="en-US"/>
        </w:rPr>
        <w:t xml:space="preserve">Johan Bavinck, </w:t>
      </w:r>
      <w:r>
        <w:rPr>
          <w:rFonts w:ascii="Garamond" w:hAnsi="Garamond"/>
          <w:i/>
          <w:lang w:val="en-US"/>
        </w:rPr>
        <w:t xml:space="preserve">Church Between Temple and Mosque </w:t>
      </w:r>
      <w:r>
        <w:rPr>
          <w:rFonts w:ascii="Garamond" w:hAnsi="Garamond"/>
          <w:lang w:val="en-US"/>
        </w:rPr>
        <w:t>(Eerdmans, 1981)</w:t>
      </w:r>
    </w:p>
    <w:p w14:paraId="387BF645" w14:textId="256A8D6A" w:rsidR="00634007" w:rsidRDefault="00634007" w:rsidP="00634007">
      <w:pPr>
        <w:rPr>
          <w:rFonts w:ascii="Garamond" w:hAnsi="Garamond"/>
          <w:lang w:val="en-US"/>
        </w:rPr>
      </w:pPr>
      <w:r>
        <w:rPr>
          <w:rFonts w:ascii="Garamond" w:hAnsi="Garamond"/>
          <w:lang w:val="en-US"/>
        </w:rPr>
        <w:t xml:space="preserve">Johan Bavinck, </w:t>
      </w:r>
      <w:r>
        <w:rPr>
          <w:rFonts w:ascii="Garamond" w:hAnsi="Garamond"/>
          <w:i/>
          <w:lang w:val="en-US"/>
        </w:rPr>
        <w:t>An Introduction to the Science of Missions</w:t>
      </w:r>
      <w:r>
        <w:rPr>
          <w:rFonts w:ascii="Garamond" w:hAnsi="Garamond"/>
          <w:lang w:val="en-US"/>
        </w:rPr>
        <w:t xml:space="preserve"> (P&amp;R, 1993)</w:t>
      </w:r>
    </w:p>
    <w:p w14:paraId="03BFDE33" w14:textId="22BFCF6F" w:rsidR="00634007" w:rsidRDefault="00634007" w:rsidP="00634007">
      <w:pPr>
        <w:rPr>
          <w:rFonts w:ascii="Garamond" w:hAnsi="Garamond"/>
          <w:lang w:val="en-US"/>
        </w:rPr>
      </w:pPr>
      <w:r>
        <w:rPr>
          <w:rFonts w:ascii="Garamond" w:hAnsi="Garamond"/>
          <w:lang w:val="en-US"/>
        </w:rPr>
        <w:t xml:space="preserve">Johan Bavinck, </w:t>
      </w:r>
      <w:r>
        <w:rPr>
          <w:rFonts w:ascii="Garamond" w:hAnsi="Garamond"/>
          <w:i/>
          <w:lang w:val="en-US"/>
        </w:rPr>
        <w:t>The Riddle of Life</w:t>
      </w:r>
      <w:r>
        <w:rPr>
          <w:rFonts w:ascii="Garamond" w:hAnsi="Garamond"/>
          <w:lang w:val="en-US"/>
        </w:rPr>
        <w:t xml:space="preserve"> (Eerdmans, 2017)</w:t>
      </w:r>
    </w:p>
    <w:p w14:paraId="549B587D" w14:textId="11FAA759" w:rsidR="00634007" w:rsidRPr="00634007" w:rsidRDefault="00634007" w:rsidP="00634007">
      <w:pPr>
        <w:rPr>
          <w:rFonts w:ascii="Garamond" w:hAnsi="Garamond"/>
          <w:lang w:val="en-US"/>
        </w:rPr>
      </w:pPr>
      <w:r>
        <w:rPr>
          <w:rFonts w:ascii="Garamond" w:hAnsi="Garamond"/>
          <w:lang w:val="en-US"/>
        </w:rPr>
        <w:t xml:space="preserve">Joshua Chatraw, </w:t>
      </w:r>
      <w:r>
        <w:rPr>
          <w:rFonts w:ascii="Garamond" w:hAnsi="Garamond"/>
          <w:i/>
          <w:lang w:val="en-US"/>
        </w:rPr>
        <w:t>Telling a Better Story: How to Talk About God in a Skeptical Age</w:t>
      </w:r>
      <w:r>
        <w:rPr>
          <w:rFonts w:ascii="Garamond" w:hAnsi="Garamond"/>
          <w:lang w:val="en-US"/>
        </w:rPr>
        <w:t xml:space="preserve"> (Zondervan, 2020)</w:t>
      </w:r>
    </w:p>
    <w:p w14:paraId="127B25EE" w14:textId="21CA5082" w:rsidR="00634007" w:rsidRDefault="00634007" w:rsidP="00634007">
      <w:pPr>
        <w:rPr>
          <w:rFonts w:ascii="Garamond" w:hAnsi="Garamond"/>
          <w:lang w:val="en-US"/>
        </w:rPr>
      </w:pPr>
      <w:r>
        <w:rPr>
          <w:rFonts w:ascii="Garamond" w:hAnsi="Garamond"/>
          <w:lang w:val="en-US"/>
        </w:rPr>
        <w:t xml:space="preserve">Steven Cowan (ed.), </w:t>
      </w:r>
      <w:r>
        <w:rPr>
          <w:rFonts w:ascii="Garamond" w:hAnsi="Garamond"/>
          <w:i/>
          <w:lang w:val="en-US"/>
        </w:rPr>
        <w:t xml:space="preserve">Five Views of Apologetics </w:t>
      </w:r>
      <w:r>
        <w:rPr>
          <w:rFonts w:ascii="Garamond" w:hAnsi="Garamond"/>
          <w:lang w:val="en-US"/>
        </w:rPr>
        <w:t>(Zondervan, 2010)</w:t>
      </w:r>
    </w:p>
    <w:p w14:paraId="697F3F13" w14:textId="29A29ED9" w:rsidR="00634007" w:rsidRDefault="00634007" w:rsidP="00634007">
      <w:pPr>
        <w:rPr>
          <w:rFonts w:ascii="Garamond" w:hAnsi="Garamond"/>
          <w:lang w:val="en-US"/>
        </w:rPr>
      </w:pPr>
      <w:r>
        <w:rPr>
          <w:rFonts w:ascii="Garamond" w:hAnsi="Garamond"/>
          <w:lang w:val="en-US"/>
        </w:rPr>
        <w:t xml:space="preserve">William Lane Craig and J.P. Moreland, </w:t>
      </w:r>
      <w:r>
        <w:rPr>
          <w:rFonts w:ascii="Garamond" w:hAnsi="Garamond"/>
          <w:i/>
          <w:lang w:val="en-US"/>
        </w:rPr>
        <w:t xml:space="preserve">Blackwell Companion to Natural Theology </w:t>
      </w:r>
      <w:r>
        <w:rPr>
          <w:rFonts w:ascii="Garamond" w:hAnsi="Garamond"/>
          <w:lang w:val="en-US"/>
        </w:rPr>
        <w:t>(Blackwell, 2012)</w:t>
      </w:r>
    </w:p>
    <w:p w14:paraId="5EB4B563" w14:textId="41D6BB32" w:rsidR="00634007" w:rsidRPr="00634007" w:rsidRDefault="00634007" w:rsidP="00634007">
      <w:pPr>
        <w:rPr>
          <w:rFonts w:ascii="Garamond" w:hAnsi="Garamond"/>
          <w:lang w:val="en-US"/>
        </w:rPr>
      </w:pPr>
      <w:r>
        <w:rPr>
          <w:rFonts w:ascii="Garamond" w:hAnsi="Garamond"/>
          <w:lang w:val="en-US"/>
        </w:rPr>
        <w:t xml:space="preserve">William Lane Craig, </w:t>
      </w:r>
      <w:r>
        <w:rPr>
          <w:rFonts w:ascii="Garamond" w:hAnsi="Garamond"/>
          <w:i/>
          <w:lang w:val="en-US"/>
        </w:rPr>
        <w:t xml:space="preserve">On Guard: Defending Your Faith with Reason and Precision </w:t>
      </w:r>
      <w:r>
        <w:rPr>
          <w:rFonts w:ascii="Garamond" w:hAnsi="Garamond"/>
          <w:lang w:val="en-US"/>
        </w:rPr>
        <w:t>(David Cook, 2010)</w:t>
      </w:r>
    </w:p>
    <w:p w14:paraId="37B73878" w14:textId="45F50EF0" w:rsidR="00634007" w:rsidRDefault="00634007" w:rsidP="00634007">
      <w:pPr>
        <w:rPr>
          <w:rFonts w:ascii="Garamond" w:hAnsi="Garamond"/>
          <w:lang w:val="en-US"/>
        </w:rPr>
      </w:pPr>
      <w:r>
        <w:rPr>
          <w:rFonts w:ascii="Garamond" w:hAnsi="Garamond"/>
          <w:lang w:val="en-US"/>
        </w:rPr>
        <w:t xml:space="preserve">William Edgar, </w:t>
      </w:r>
      <w:r>
        <w:rPr>
          <w:rFonts w:ascii="Garamond" w:hAnsi="Garamond"/>
          <w:i/>
          <w:lang w:val="en-US"/>
        </w:rPr>
        <w:t xml:space="preserve">Reasons of the Heart </w:t>
      </w:r>
      <w:r>
        <w:rPr>
          <w:rFonts w:ascii="Garamond" w:hAnsi="Garamond"/>
          <w:lang w:val="en-US"/>
        </w:rPr>
        <w:t>(P&amp;R, 2003)</w:t>
      </w:r>
    </w:p>
    <w:p w14:paraId="6F8E8BDB" w14:textId="7B9BA1F5" w:rsidR="00634007" w:rsidRDefault="00634007" w:rsidP="00634007">
      <w:pPr>
        <w:rPr>
          <w:rFonts w:ascii="Garamond" w:hAnsi="Garamond"/>
          <w:lang w:val="en-US"/>
        </w:rPr>
      </w:pPr>
      <w:r>
        <w:rPr>
          <w:rFonts w:ascii="Garamond" w:hAnsi="Garamond"/>
          <w:lang w:val="en-US"/>
        </w:rPr>
        <w:t xml:space="preserve">William Edgar, </w:t>
      </w:r>
      <w:r>
        <w:rPr>
          <w:rFonts w:ascii="Garamond" w:hAnsi="Garamond"/>
          <w:i/>
          <w:lang w:val="en-US"/>
        </w:rPr>
        <w:t xml:space="preserve">Created and Created: A Biblical Theology of Culture </w:t>
      </w:r>
      <w:r>
        <w:rPr>
          <w:rFonts w:ascii="Garamond" w:hAnsi="Garamond"/>
          <w:lang w:val="en-US"/>
        </w:rPr>
        <w:t>(IVP, 2016)</w:t>
      </w:r>
    </w:p>
    <w:p w14:paraId="1CA12ED0" w14:textId="57F2CD29" w:rsidR="00634007" w:rsidRDefault="00634007" w:rsidP="00634007">
      <w:pPr>
        <w:rPr>
          <w:rFonts w:ascii="Garamond" w:hAnsi="Garamond"/>
          <w:lang w:val="en-US"/>
        </w:rPr>
      </w:pPr>
      <w:r>
        <w:rPr>
          <w:rFonts w:ascii="Garamond" w:hAnsi="Garamond"/>
          <w:lang w:val="en-US"/>
        </w:rPr>
        <w:t xml:space="preserve">William Edgar and Scott </w:t>
      </w:r>
      <w:proofErr w:type="spellStart"/>
      <w:r>
        <w:rPr>
          <w:rFonts w:ascii="Garamond" w:hAnsi="Garamond"/>
          <w:lang w:val="en-US"/>
        </w:rPr>
        <w:t>Oliphint</w:t>
      </w:r>
      <w:proofErr w:type="spellEnd"/>
      <w:r>
        <w:rPr>
          <w:rFonts w:ascii="Garamond" w:hAnsi="Garamond"/>
          <w:lang w:val="en-US"/>
        </w:rPr>
        <w:t xml:space="preserve"> (eds.), </w:t>
      </w:r>
      <w:r>
        <w:rPr>
          <w:rFonts w:ascii="Garamond" w:hAnsi="Garamond"/>
          <w:i/>
          <w:lang w:val="en-US"/>
        </w:rPr>
        <w:t>Christian Apologetics: Past and Present</w:t>
      </w:r>
      <w:r>
        <w:rPr>
          <w:rFonts w:ascii="Garamond" w:hAnsi="Garamond"/>
          <w:lang w:val="en-US"/>
        </w:rPr>
        <w:t>, 2 vols. (Crossway, 2009-11).</w:t>
      </w:r>
    </w:p>
    <w:p w14:paraId="18B570D8" w14:textId="383FFF5E" w:rsidR="00634007" w:rsidRDefault="00634007" w:rsidP="00634007">
      <w:pPr>
        <w:rPr>
          <w:rFonts w:ascii="Garamond" w:hAnsi="Garamond"/>
          <w:lang w:val="en-US"/>
        </w:rPr>
      </w:pPr>
      <w:r>
        <w:rPr>
          <w:rFonts w:ascii="Garamond" w:hAnsi="Garamond"/>
          <w:lang w:val="en-US"/>
        </w:rPr>
        <w:t xml:space="preserve">Paul Gould, </w:t>
      </w:r>
      <w:r>
        <w:rPr>
          <w:rFonts w:ascii="Garamond" w:hAnsi="Garamond"/>
          <w:i/>
          <w:lang w:val="en-US"/>
        </w:rPr>
        <w:t xml:space="preserve">Cultural Apologetics: Renewing the Christian Voice, Conscience, and Imagination in a Disenchanted World </w:t>
      </w:r>
      <w:r>
        <w:rPr>
          <w:rFonts w:ascii="Garamond" w:hAnsi="Garamond"/>
          <w:lang w:val="en-US"/>
        </w:rPr>
        <w:t>(Zondervan, 2019)</w:t>
      </w:r>
    </w:p>
    <w:p w14:paraId="0A348AE6" w14:textId="3FAF1254" w:rsidR="00634007" w:rsidRPr="00634007" w:rsidRDefault="00634007" w:rsidP="00634007">
      <w:pPr>
        <w:rPr>
          <w:rFonts w:ascii="Garamond" w:hAnsi="Garamond"/>
          <w:lang w:val="en-US"/>
        </w:rPr>
      </w:pPr>
      <w:r>
        <w:rPr>
          <w:rFonts w:ascii="Garamond" w:hAnsi="Garamond"/>
          <w:lang w:val="en-US"/>
        </w:rPr>
        <w:t xml:space="preserve">J.V. </w:t>
      </w:r>
      <w:proofErr w:type="spellStart"/>
      <w:r>
        <w:rPr>
          <w:rFonts w:ascii="Garamond" w:hAnsi="Garamond"/>
          <w:lang w:val="en-US"/>
        </w:rPr>
        <w:t>Fesko</w:t>
      </w:r>
      <w:proofErr w:type="spellEnd"/>
      <w:r>
        <w:rPr>
          <w:rFonts w:ascii="Garamond" w:hAnsi="Garamond"/>
          <w:lang w:val="en-US"/>
        </w:rPr>
        <w:t xml:space="preserve">, </w:t>
      </w:r>
      <w:r>
        <w:rPr>
          <w:rFonts w:ascii="Garamond" w:hAnsi="Garamond"/>
          <w:i/>
          <w:lang w:val="en-US"/>
        </w:rPr>
        <w:t>Reforming Apologetics: Retrieving the Classical Reformed Approach to Defending the Faith</w:t>
      </w:r>
      <w:r>
        <w:rPr>
          <w:rFonts w:ascii="Garamond" w:hAnsi="Garamond"/>
          <w:lang w:val="en-US"/>
        </w:rPr>
        <w:t xml:space="preserve"> (Baker Academic, 2019)</w:t>
      </w:r>
    </w:p>
    <w:p w14:paraId="3A338228" w14:textId="03BD9D2C" w:rsidR="00634007" w:rsidRDefault="00634007" w:rsidP="00634007">
      <w:pPr>
        <w:rPr>
          <w:rFonts w:ascii="Garamond" w:hAnsi="Garamond"/>
          <w:lang w:val="en-US"/>
        </w:rPr>
      </w:pPr>
      <w:r>
        <w:rPr>
          <w:rFonts w:ascii="Garamond" w:hAnsi="Garamond"/>
          <w:lang w:val="en-US"/>
        </w:rPr>
        <w:t xml:space="preserve">John Frame, </w:t>
      </w:r>
      <w:r>
        <w:rPr>
          <w:rFonts w:ascii="Garamond" w:hAnsi="Garamond"/>
          <w:i/>
          <w:lang w:val="en-US"/>
        </w:rPr>
        <w:t xml:space="preserve">Apologetics: A Justification of Christian Belief </w:t>
      </w:r>
      <w:r>
        <w:rPr>
          <w:rFonts w:ascii="Garamond" w:hAnsi="Garamond"/>
          <w:lang w:val="en-US"/>
        </w:rPr>
        <w:t>(P&amp;R, 2015)</w:t>
      </w:r>
    </w:p>
    <w:p w14:paraId="1C43470D" w14:textId="61B47D3D" w:rsidR="00634007" w:rsidRPr="00634007" w:rsidRDefault="00634007" w:rsidP="00634007">
      <w:pPr>
        <w:rPr>
          <w:rFonts w:ascii="Garamond" w:hAnsi="Garamond"/>
          <w:lang w:val="en-US"/>
        </w:rPr>
      </w:pPr>
      <w:r>
        <w:rPr>
          <w:rFonts w:ascii="Garamond" w:hAnsi="Garamond"/>
          <w:lang w:val="en-US"/>
        </w:rPr>
        <w:t xml:space="preserve">John Frame, </w:t>
      </w:r>
      <w:r>
        <w:rPr>
          <w:rFonts w:ascii="Garamond" w:hAnsi="Garamond"/>
          <w:i/>
          <w:lang w:val="en-US"/>
        </w:rPr>
        <w:t xml:space="preserve">Cornelius Van </w:t>
      </w:r>
      <w:proofErr w:type="spellStart"/>
      <w:r>
        <w:rPr>
          <w:rFonts w:ascii="Garamond" w:hAnsi="Garamond"/>
          <w:i/>
          <w:lang w:val="en-US"/>
        </w:rPr>
        <w:t>Til</w:t>
      </w:r>
      <w:proofErr w:type="spellEnd"/>
      <w:r>
        <w:rPr>
          <w:rFonts w:ascii="Garamond" w:hAnsi="Garamond"/>
          <w:i/>
          <w:lang w:val="en-US"/>
        </w:rPr>
        <w:t xml:space="preserve">: An Analysis of His Thought </w:t>
      </w:r>
      <w:r>
        <w:rPr>
          <w:rFonts w:ascii="Garamond" w:hAnsi="Garamond"/>
          <w:lang w:val="en-US"/>
        </w:rPr>
        <w:t>(P&amp;R, 1995)</w:t>
      </w:r>
    </w:p>
    <w:p w14:paraId="0131B5C0" w14:textId="68146233" w:rsidR="00634007" w:rsidRDefault="00634007" w:rsidP="00634007">
      <w:pPr>
        <w:rPr>
          <w:rFonts w:ascii="Garamond" w:hAnsi="Garamond"/>
          <w:lang w:val="en-US"/>
        </w:rPr>
      </w:pPr>
      <w:r>
        <w:rPr>
          <w:rFonts w:ascii="Garamond" w:hAnsi="Garamond"/>
          <w:lang w:val="en-US"/>
        </w:rPr>
        <w:t xml:space="preserve">Abraham Kuyper, </w:t>
      </w:r>
      <w:r>
        <w:rPr>
          <w:rFonts w:ascii="Garamond" w:hAnsi="Garamond"/>
          <w:i/>
          <w:lang w:val="en-US"/>
        </w:rPr>
        <w:t>A Centennial Reader</w:t>
      </w:r>
      <w:r>
        <w:rPr>
          <w:rFonts w:ascii="Garamond" w:hAnsi="Garamond"/>
          <w:lang w:val="en-US"/>
        </w:rPr>
        <w:t xml:space="preserve">, ed. James </w:t>
      </w:r>
      <w:proofErr w:type="spellStart"/>
      <w:r>
        <w:rPr>
          <w:rFonts w:ascii="Garamond" w:hAnsi="Garamond"/>
          <w:lang w:val="en-US"/>
        </w:rPr>
        <w:t>Bratt</w:t>
      </w:r>
      <w:proofErr w:type="spellEnd"/>
      <w:r>
        <w:rPr>
          <w:rFonts w:ascii="Garamond" w:hAnsi="Garamond"/>
          <w:lang w:val="en-US"/>
        </w:rPr>
        <w:t xml:space="preserve"> (Eerdmans, 2003)</w:t>
      </w:r>
    </w:p>
    <w:p w14:paraId="7108257A" w14:textId="0AD81F31" w:rsidR="00634007" w:rsidRPr="00634007" w:rsidRDefault="00634007" w:rsidP="00634007">
      <w:pPr>
        <w:rPr>
          <w:rFonts w:ascii="Garamond" w:hAnsi="Garamond"/>
          <w:lang w:val="en-US"/>
        </w:rPr>
      </w:pPr>
      <w:r>
        <w:rPr>
          <w:rFonts w:ascii="Garamond" w:hAnsi="Garamond"/>
          <w:lang w:val="en-US"/>
        </w:rPr>
        <w:t xml:space="preserve">Abraham Kuyper, </w:t>
      </w:r>
      <w:r>
        <w:rPr>
          <w:rFonts w:ascii="Garamond" w:hAnsi="Garamond"/>
          <w:i/>
          <w:lang w:val="en-US"/>
        </w:rPr>
        <w:t xml:space="preserve">Encyclopedia of Sacred Theology: Its Principles </w:t>
      </w:r>
      <w:r>
        <w:rPr>
          <w:rFonts w:ascii="Garamond" w:hAnsi="Garamond"/>
          <w:lang w:val="en-US"/>
        </w:rPr>
        <w:t xml:space="preserve">(Scribner &amp; Sons, 1898). </w:t>
      </w:r>
    </w:p>
    <w:p w14:paraId="1FA33942" w14:textId="55E97703" w:rsidR="00634007" w:rsidRPr="00634007" w:rsidRDefault="00634007" w:rsidP="00634007">
      <w:pPr>
        <w:rPr>
          <w:rFonts w:ascii="Garamond" w:hAnsi="Garamond"/>
          <w:lang w:val="en-US"/>
        </w:rPr>
      </w:pPr>
      <w:r>
        <w:rPr>
          <w:rFonts w:ascii="Garamond" w:hAnsi="Garamond"/>
          <w:lang w:val="en-US"/>
        </w:rPr>
        <w:t xml:space="preserve">Keith Johnson, </w:t>
      </w:r>
      <w:r>
        <w:rPr>
          <w:rFonts w:ascii="Garamond" w:hAnsi="Garamond"/>
          <w:i/>
          <w:lang w:val="en-US"/>
        </w:rPr>
        <w:t xml:space="preserve">Karl Barth and the Analogia </w:t>
      </w:r>
      <w:proofErr w:type="spellStart"/>
      <w:r>
        <w:rPr>
          <w:rFonts w:ascii="Garamond" w:hAnsi="Garamond"/>
          <w:i/>
          <w:lang w:val="en-US"/>
        </w:rPr>
        <w:t>Entis</w:t>
      </w:r>
      <w:proofErr w:type="spellEnd"/>
      <w:r>
        <w:rPr>
          <w:rFonts w:ascii="Garamond" w:hAnsi="Garamond"/>
          <w:lang w:val="en-US"/>
        </w:rPr>
        <w:t xml:space="preserve"> (Bloomsbury T&amp;T Clark, 2010). </w:t>
      </w:r>
    </w:p>
    <w:p w14:paraId="260B21B0" w14:textId="5D1586D3" w:rsidR="00634007" w:rsidRDefault="00634007" w:rsidP="00634007">
      <w:pPr>
        <w:rPr>
          <w:rFonts w:ascii="Garamond" w:hAnsi="Garamond"/>
          <w:lang w:val="en-US"/>
        </w:rPr>
      </w:pPr>
      <w:r>
        <w:rPr>
          <w:rFonts w:ascii="Garamond" w:hAnsi="Garamond"/>
          <w:lang w:val="en-US"/>
        </w:rPr>
        <w:lastRenderedPageBreak/>
        <w:t xml:space="preserve">Matthew Levering, </w:t>
      </w:r>
      <w:r>
        <w:rPr>
          <w:rFonts w:ascii="Garamond" w:hAnsi="Garamond"/>
          <w:i/>
          <w:lang w:val="en-US"/>
        </w:rPr>
        <w:t xml:space="preserve">Proofs of God: Classical Arguments from Tertullian to Barth </w:t>
      </w:r>
      <w:r>
        <w:rPr>
          <w:rFonts w:ascii="Garamond" w:hAnsi="Garamond"/>
          <w:lang w:val="en-US"/>
        </w:rPr>
        <w:t>(Baker Academic, 2016)</w:t>
      </w:r>
    </w:p>
    <w:p w14:paraId="1DE22897" w14:textId="37B5AE02" w:rsidR="00634007" w:rsidRPr="00634007" w:rsidRDefault="00634007" w:rsidP="00634007">
      <w:pPr>
        <w:rPr>
          <w:rFonts w:ascii="Garamond" w:hAnsi="Garamond"/>
          <w:lang w:val="en-US"/>
        </w:rPr>
      </w:pPr>
      <w:r>
        <w:rPr>
          <w:rFonts w:ascii="Garamond" w:hAnsi="Garamond"/>
          <w:lang w:val="en-US"/>
        </w:rPr>
        <w:t xml:space="preserve">Russell Re Manning, John Hedley Brooke, and Fraser Watts (eds.), </w:t>
      </w:r>
      <w:r>
        <w:rPr>
          <w:rFonts w:ascii="Garamond" w:hAnsi="Garamond"/>
          <w:i/>
          <w:lang w:val="en-US"/>
        </w:rPr>
        <w:t xml:space="preserve">Oxford Handbook of Natural Theology </w:t>
      </w:r>
      <w:r>
        <w:rPr>
          <w:rFonts w:ascii="Garamond" w:hAnsi="Garamond"/>
          <w:lang w:val="en-US"/>
        </w:rPr>
        <w:t>(Oxford, 2013)</w:t>
      </w:r>
    </w:p>
    <w:p w14:paraId="427F5B77" w14:textId="75D07C08" w:rsidR="00634007" w:rsidRPr="00634007" w:rsidRDefault="00634007" w:rsidP="00634007">
      <w:pPr>
        <w:rPr>
          <w:rFonts w:ascii="Garamond" w:hAnsi="Garamond"/>
          <w:lang w:val="en-US"/>
        </w:rPr>
      </w:pPr>
      <w:r>
        <w:rPr>
          <w:rFonts w:ascii="Garamond" w:hAnsi="Garamond"/>
          <w:lang w:val="en-US"/>
        </w:rPr>
        <w:t xml:space="preserve">Alan Noble, </w:t>
      </w:r>
      <w:r>
        <w:rPr>
          <w:rFonts w:ascii="Garamond" w:hAnsi="Garamond"/>
          <w:i/>
          <w:lang w:val="en-US"/>
        </w:rPr>
        <w:t>Disruptive Witness: Speaking Truth in a Distracted Age</w:t>
      </w:r>
      <w:r>
        <w:rPr>
          <w:rFonts w:ascii="Garamond" w:hAnsi="Garamond"/>
          <w:lang w:val="en-US"/>
        </w:rPr>
        <w:t xml:space="preserve"> (IVP, 2018)</w:t>
      </w:r>
    </w:p>
    <w:p w14:paraId="66A93E65" w14:textId="05CB9B56" w:rsidR="00634007" w:rsidRDefault="00634007" w:rsidP="00634007">
      <w:pPr>
        <w:rPr>
          <w:rFonts w:ascii="Garamond" w:hAnsi="Garamond"/>
          <w:lang w:val="en-US"/>
        </w:rPr>
      </w:pPr>
      <w:r>
        <w:rPr>
          <w:rFonts w:ascii="Garamond" w:hAnsi="Garamond"/>
          <w:lang w:val="en-US"/>
        </w:rPr>
        <w:t xml:space="preserve">Thom </w:t>
      </w:r>
      <w:proofErr w:type="spellStart"/>
      <w:r>
        <w:rPr>
          <w:rFonts w:ascii="Garamond" w:hAnsi="Garamond"/>
          <w:lang w:val="en-US"/>
        </w:rPr>
        <w:t>Notaro</w:t>
      </w:r>
      <w:proofErr w:type="spellEnd"/>
      <w:r>
        <w:rPr>
          <w:rFonts w:ascii="Garamond" w:hAnsi="Garamond"/>
          <w:lang w:val="en-US"/>
        </w:rPr>
        <w:t xml:space="preserve">, </w:t>
      </w:r>
      <w:r>
        <w:rPr>
          <w:rFonts w:ascii="Garamond" w:hAnsi="Garamond"/>
          <w:i/>
          <w:lang w:val="en-US"/>
        </w:rPr>
        <w:t xml:space="preserve">Van </w:t>
      </w:r>
      <w:proofErr w:type="spellStart"/>
      <w:r>
        <w:rPr>
          <w:rFonts w:ascii="Garamond" w:hAnsi="Garamond"/>
          <w:i/>
          <w:lang w:val="en-US"/>
        </w:rPr>
        <w:t>Til</w:t>
      </w:r>
      <w:proofErr w:type="spellEnd"/>
      <w:r>
        <w:rPr>
          <w:rFonts w:ascii="Garamond" w:hAnsi="Garamond"/>
          <w:i/>
          <w:lang w:val="en-US"/>
        </w:rPr>
        <w:t xml:space="preserve"> and the Use of Evidence</w:t>
      </w:r>
      <w:r>
        <w:rPr>
          <w:rFonts w:ascii="Garamond" w:hAnsi="Garamond"/>
          <w:lang w:val="en-US"/>
        </w:rPr>
        <w:t xml:space="preserve"> (P&amp;R, 1980)</w:t>
      </w:r>
    </w:p>
    <w:p w14:paraId="55F7A3FC" w14:textId="65D84E32" w:rsidR="00634007" w:rsidRDefault="00634007" w:rsidP="00634007">
      <w:pPr>
        <w:rPr>
          <w:rFonts w:ascii="Garamond" w:hAnsi="Garamond"/>
          <w:lang w:val="en-US"/>
        </w:rPr>
      </w:pPr>
      <w:r>
        <w:rPr>
          <w:rFonts w:ascii="Garamond" w:hAnsi="Garamond"/>
          <w:lang w:val="en-US"/>
        </w:rPr>
        <w:t xml:space="preserve">Scott </w:t>
      </w:r>
      <w:proofErr w:type="spellStart"/>
      <w:r>
        <w:rPr>
          <w:rFonts w:ascii="Garamond" w:hAnsi="Garamond"/>
          <w:lang w:val="en-US"/>
        </w:rPr>
        <w:t>Oliphint</w:t>
      </w:r>
      <w:proofErr w:type="spellEnd"/>
      <w:r>
        <w:rPr>
          <w:rFonts w:ascii="Garamond" w:hAnsi="Garamond"/>
          <w:lang w:val="en-US"/>
        </w:rPr>
        <w:t xml:space="preserve">, </w:t>
      </w:r>
      <w:r>
        <w:rPr>
          <w:rFonts w:ascii="Garamond" w:hAnsi="Garamond"/>
          <w:i/>
          <w:lang w:val="en-US"/>
        </w:rPr>
        <w:t xml:space="preserve">Covenantal Apologetics: Principles and Practice </w:t>
      </w:r>
      <w:r>
        <w:rPr>
          <w:rFonts w:ascii="Garamond" w:hAnsi="Garamond"/>
          <w:lang w:val="en-US"/>
        </w:rPr>
        <w:t>(Crossway, 2013)</w:t>
      </w:r>
      <w:r>
        <w:rPr>
          <w:rFonts w:ascii="Garamond" w:hAnsi="Garamond"/>
          <w:lang w:val="en-US"/>
        </w:rPr>
        <w:br/>
        <w:t xml:space="preserve">Scott </w:t>
      </w:r>
      <w:proofErr w:type="spellStart"/>
      <w:r>
        <w:rPr>
          <w:rFonts w:ascii="Garamond" w:hAnsi="Garamond"/>
          <w:lang w:val="en-US"/>
        </w:rPr>
        <w:t>Oliphint</w:t>
      </w:r>
      <w:proofErr w:type="spellEnd"/>
      <w:r>
        <w:rPr>
          <w:rFonts w:ascii="Garamond" w:hAnsi="Garamond"/>
          <w:lang w:val="en-US"/>
        </w:rPr>
        <w:t xml:space="preserve">, </w:t>
      </w:r>
      <w:r>
        <w:rPr>
          <w:rFonts w:ascii="Garamond" w:hAnsi="Garamond"/>
          <w:i/>
          <w:lang w:val="en-US"/>
        </w:rPr>
        <w:t>Know Why You Believe</w:t>
      </w:r>
      <w:r>
        <w:rPr>
          <w:rFonts w:ascii="Garamond" w:hAnsi="Garamond"/>
          <w:lang w:val="en-US"/>
        </w:rPr>
        <w:t xml:space="preserve"> (Zondervan, 2017)</w:t>
      </w:r>
    </w:p>
    <w:p w14:paraId="363CB69F" w14:textId="5AA33579" w:rsidR="00634007" w:rsidRPr="00634007" w:rsidRDefault="00634007" w:rsidP="00634007">
      <w:pPr>
        <w:rPr>
          <w:rFonts w:ascii="Garamond" w:hAnsi="Garamond"/>
          <w:lang w:val="en-US"/>
        </w:rPr>
      </w:pPr>
      <w:r>
        <w:rPr>
          <w:rFonts w:ascii="Garamond" w:hAnsi="Garamond"/>
          <w:lang w:val="en-US"/>
        </w:rPr>
        <w:t xml:space="preserve">Scott </w:t>
      </w:r>
      <w:proofErr w:type="spellStart"/>
      <w:r>
        <w:rPr>
          <w:rFonts w:ascii="Garamond" w:hAnsi="Garamond"/>
          <w:lang w:val="en-US"/>
        </w:rPr>
        <w:t>Oliphint</w:t>
      </w:r>
      <w:proofErr w:type="spellEnd"/>
      <w:r>
        <w:rPr>
          <w:rFonts w:ascii="Garamond" w:hAnsi="Garamond"/>
          <w:lang w:val="en-US"/>
        </w:rPr>
        <w:t xml:space="preserve">, </w:t>
      </w:r>
      <w:r>
        <w:rPr>
          <w:rFonts w:ascii="Garamond" w:hAnsi="Garamond"/>
          <w:i/>
          <w:lang w:val="en-US"/>
        </w:rPr>
        <w:t xml:space="preserve">Reasons For Faith </w:t>
      </w:r>
      <w:r>
        <w:rPr>
          <w:rFonts w:ascii="Garamond" w:hAnsi="Garamond"/>
          <w:lang w:val="en-US"/>
        </w:rPr>
        <w:t>(P&amp;R, 2007)</w:t>
      </w:r>
    </w:p>
    <w:p w14:paraId="01F43FE7" w14:textId="6371BC7E" w:rsidR="00634007" w:rsidRDefault="00634007" w:rsidP="00634007">
      <w:pPr>
        <w:rPr>
          <w:rFonts w:ascii="Garamond" w:hAnsi="Garamond"/>
          <w:lang w:val="en-US"/>
        </w:rPr>
      </w:pPr>
      <w:r>
        <w:rPr>
          <w:rFonts w:ascii="Garamond" w:hAnsi="Garamond"/>
          <w:lang w:val="en-US"/>
        </w:rPr>
        <w:t xml:space="preserve">Alvin Plantinga, </w:t>
      </w:r>
      <w:r>
        <w:rPr>
          <w:rFonts w:ascii="Garamond" w:hAnsi="Garamond"/>
          <w:i/>
          <w:lang w:val="en-US"/>
        </w:rPr>
        <w:t>Warranted Christian Belief</w:t>
      </w:r>
      <w:r>
        <w:rPr>
          <w:rFonts w:ascii="Garamond" w:hAnsi="Garamond"/>
          <w:lang w:val="en-US"/>
        </w:rPr>
        <w:t xml:space="preserve"> (Oxford, 2000)</w:t>
      </w:r>
    </w:p>
    <w:p w14:paraId="20D121CE" w14:textId="120A91B6" w:rsidR="00634007" w:rsidRPr="00634007" w:rsidRDefault="00634007" w:rsidP="00634007">
      <w:pPr>
        <w:rPr>
          <w:rFonts w:ascii="Garamond" w:hAnsi="Garamond"/>
          <w:lang w:val="en-US"/>
        </w:rPr>
      </w:pPr>
      <w:r>
        <w:rPr>
          <w:rFonts w:ascii="Garamond" w:hAnsi="Garamond"/>
          <w:lang w:val="en-US"/>
        </w:rPr>
        <w:t xml:space="preserve">Alvin Plantinga, </w:t>
      </w:r>
      <w:r>
        <w:rPr>
          <w:rFonts w:ascii="Garamond" w:hAnsi="Garamond"/>
          <w:i/>
          <w:lang w:val="en-US"/>
        </w:rPr>
        <w:t xml:space="preserve">Where the Conflict Really Lies </w:t>
      </w:r>
      <w:r>
        <w:rPr>
          <w:rFonts w:ascii="Garamond" w:hAnsi="Garamond"/>
          <w:lang w:val="en-US"/>
        </w:rPr>
        <w:t>(Oxford, 2012)</w:t>
      </w:r>
    </w:p>
    <w:p w14:paraId="19037692" w14:textId="64356712" w:rsidR="00634007" w:rsidRDefault="00634007" w:rsidP="00634007">
      <w:pPr>
        <w:rPr>
          <w:rFonts w:ascii="Garamond" w:hAnsi="Garamond"/>
          <w:lang w:val="en-US"/>
        </w:rPr>
      </w:pPr>
      <w:r>
        <w:rPr>
          <w:rFonts w:ascii="Garamond" w:hAnsi="Garamond"/>
          <w:lang w:val="en-US"/>
        </w:rPr>
        <w:t xml:space="preserve">Richard Pratt, </w:t>
      </w:r>
      <w:r>
        <w:rPr>
          <w:rFonts w:ascii="Garamond" w:hAnsi="Garamond"/>
          <w:i/>
          <w:lang w:val="en-US"/>
        </w:rPr>
        <w:t>Every Thought Captive: A Study Manual of a Defense of Christian Truth</w:t>
      </w:r>
      <w:r>
        <w:rPr>
          <w:rFonts w:ascii="Garamond" w:hAnsi="Garamond"/>
          <w:lang w:val="en-US"/>
        </w:rPr>
        <w:t xml:space="preserve"> (P&amp;R, 1980)</w:t>
      </w:r>
    </w:p>
    <w:p w14:paraId="6CBCFF9B" w14:textId="4125BC57" w:rsidR="00634007" w:rsidRDefault="00634007" w:rsidP="00634007">
      <w:pPr>
        <w:rPr>
          <w:rFonts w:ascii="Garamond" w:hAnsi="Garamond"/>
          <w:lang w:val="en-US"/>
        </w:rPr>
      </w:pPr>
      <w:r>
        <w:rPr>
          <w:rFonts w:ascii="Garamond" w:hAnsi="Garamond"/>
          <w:lang w:val="en-US"/>
        </w:rPr>
        <w:t xml:space="preserve">Lane Tipton and Scott </w:t>
      </w:r>
      <w:proofErr w:type="spellStart"/>
      <w:r>
        <w:rPr>
          <w:rFonts w:ascii="Garamond" w:hAnsi="Garamond"/>
          <w:lang w:val="en-US"/>
        </w:rPr>
        <w:t>Oliphint</w:t>
      </w:r>
      <w:proofErr w:type="spellEnd"/>
      <w:r>
        <w:rPr>
          <w:rFonts w:ascii="Garamond" w:hAnsi="Garamond"/>
          <w:lang w:val="en-US"/>
        </w:rPr>
        <w:t xml:space="preserve">, </w:t>
      </w:r>
      <w:r>
        <w:rPr>
          <w:rFonts w:ascii="Garamond" w:hAnsi="Garamond"/>
          <w:i/>
          <w:lang w:val="en-US"/>
        </w:rPr>
        <w:t xml:space="preserve">Revelation and Reason: New Essays in Reformed Apologetics </w:t>
      </w:r>
      <w:r>
        <w:rPr>
          <w:rFonts w:ascii="Garamond" w:hAnsi="Garamond"/>
          <w:lang w:val="en-US"/>
        </w:rPr>
        <w:t>(P&amp;R, 2007)</w:t>
      </w:r>
    </w:p>
    <w:p w14:paraId="5FB72B2C" w14:textId="5DB15A7D" w:rsidR="00634007" w:rsidRDefault="00634007" w:rsidP="00634007">
      <w:pPr>
        <w:rPr>
          <w:rFonts w:ascii="Garamond" w:hAnsi="Garamond"/>
          <w:lang w:val="en-US"/>
        </w:rPr>
      </w:pPr>
      <w:r>
        <w:rPr>
          <w:rFonts w:ascii="Garamond" w:hAnsi="Garamond"/>
          <w:lang w:val="en-US"/>
        </w:rPr>
        <w:t xml:space="preserve">James K. A. Smith, </w:t>
      </w:r>
      <w:r>
        <w:rPr>
          <w:rFonts w:ascii="Garamond" w:hAnsi="Garamond"/>
          <w:i/>
          <w:lang w:val="en-US"/>
        </w:rPr>
        <w:t xml:space="preserve">Whose Afraid of Postmodernism? Taking Derrida, Lyotard, and Foucault to Church </w:t>
      </w:r>
      <w:r>
        <w:rPr>
          <w:rFonts w:ascii="Garamond" w:hAnsi="Garamond"/>
          <w:lang w:val="en-US"/>
        </w:rPr>
        <w:t xml:space="preserve">(Baker Academic, 2006). </w:t>
      </w:r>
    </w:p>
    <w:p w14:paraId="0C2F16A6" w14:textId="05848366" w:rsidR="00634007" w:rsidRPr="00634007" w:rsidRDefault="00634007" w:rsidP="00634007">
      <w:pPr>
        <w:rPr>
          <w:rFonts w:ascii="Garamond" w:hAnsi="Garamond"/>
          <w:lang w:val="en-US"/>
        </w:rPr>
      </w:pPr>
      <w:r>
        <w:rPr>
          <w:rFonts w:ascii="Garamond" w:hAnsi="Garamond"/>
          <w:lang w:val="en-US"/>
        </w:rPr>
        <w:t xml:space="preserve">Charles Taylor, </w:t>
      </w:r>
      <w:r>
        <w:rPr>
          <w:rFonts w:ascii="Garamond" w:hAnsi="Garamond"/>
          <w:i/>
          <w:lang w:val="en-US"/>
        </w:rPr>
        <w:t xml:space="preserve">A Secular Age </w:t>
      </w:r>
      <w:r>
        <w:rPr>
          <w:rFonts w:ascii="Garamond" w:hAnsi="Garamond"/>
          <w:lang w:val="en-US"/>
        </w:rPr>
        <w:t>(Harvard, 2007)</w:t>
      </w:r>
    </w:p>
    <w:p w14:paraId="26318924" w14:textId="37C4599B" w:rsidR="00634007" w:rsidRDefault="00634007" w:rsidP="00634007">
      <w:pPr>
        <w:rPr>
          <w:rFonts w:ascii="Garamond" w:hAnsi="Garamond"/>
          <w:lang w:val="en-US"/>
        </w:rPr>
      </w:pPr>
      <w:r>
        <w:rPr>
          <w:rFonts w:ascii="Garamond" w:hAnsi="Garamond"/>
          <w:lang w:val="en-US"/>
        </w:rPr>
        <w:t xml:space="preserve">Cornelius Van </w:t>
      </w:r>
      <w:proofErr w:type="spellStart"/>
      <w:r>
        <w:rPr>
          <w:rFonts w:ascii="Garamond" w:hAnsi="Garamond"/>
          <w:lang w:val="en-US"/>
        </w:rPr>
        <w:t>Til</w:t>
      </w:r>
      <w:proofErr w:type="spellEnd"/>
      <w:r>
        <w:rPr>
          <w:rFonts w:ascii="Garamond" w:hAnsi="Garamond"/>
          <w:lang w:val="en-US"/>
        </w:rPr>
        <w:t xml:space="preserve">, </w:t>
      </w:r>
      <w:r>
        <w:rPr>
          <w:rFonts w:ascii="Garamond" w:hAnsi="Garamond"/>
          <w:i/>
          <w:lang w:val="en-US"/>
        </w:rPr>
        <w:t>Common Grace and the Gospel</w:t>
      </w:r>
      <w:r>
        <w:rPr>
          <w:rFonts w:ascii="Garamond" w:hAnsi="Garamond"/>
          <w:lang w:val="en-US"/>
        </w:rPr>
        <w:t xml:space="preserve">, ed. Scott </w:t>
      </w:r>
      <w:proofErr w:type="spellStart"/>
      <w:r>
        <w:rPr>
          <w:rFonts w:ascii="Garamond" w:hAnsi="Garamond"/>
          <w:lang w:val="en-US"/>
        </w:rPr>
        <w:t>Oliphint</w:t>
      </w:r>
      <w:proofErr w:type="spellEnd"/>
      <w:r>
        <w:rPr>
          <w:rFonts w:ascii="Garamond" w:hAnsi="Garamond"/>
          <w:lang w:val="en-US"/>
        </w:rPr>
        <w:t>, 2</w:t>
      </w:r>
      <w:r w:rsidRPr="00634007">
        <w:rPr>
          <w:rFonts w:ascii="Garamond" w:hAnsi="Garamond"/>
          <w:vertAlign w:val="superscript"/>
          <w:lang w:val="en-US"/>
        </w:rPr>
        <w:t>nd</w:t>
      </w:r>
      <w:r>
        <w:rPr>
          <w:rFonts w:ascii="Garamond" w:hAnsi="Garamond"/>
          <w:lang w:val="en-US"/>
        </w:rPr>
        <w:t xml:space="preserve"> ed. (P&amp;R, 2014).</w:t>
      </w:r>
    </w:p>
    <w:p w14:paraId="02AE6FBF" w14:textId="58A35322" w:rsidR="006B3702" w:rsidRPr="006B3702" w:rsidRDefault="006B3702" w:rsidP="00634007">
      <w:pPr>
        <w:rPr>
          <w:rFonts w:ascii="Garamond" w:hAnsi="Garamond"/>
          <w:lang w:val="en-US"/>
        </w:rPr>
      </w:pPr>
      <w:r>
        <w:rPr>
          <w:rFonts w:ascii="Garamond" w:hAnsi="Garamond"/>
          <w:lang w:val="en-US"/>
        </w:rPr>
        <w:t xml:space="preserve">Greg Welty, </w:t>
      </w:r>
      <w:r>
        <w:rPr>
          <w:rFonts w:ascii="Garamond" w:hAnsi="Garamond"/>
          <w:i/>
          <w:lang w:val="en-US"/>
        </w:rPr>
        <w:t>Why is there so much evil in the world?</w:t>
      </w:r>
      <w:r>
        <w:rPr>
          <w:rFonts w:ascii="Garamond" w:hAnsi="Garamond"/>
          <w:lang w:val="en-US"/>
        </w:rPr>
        <w:t xml:space="preserve"> (Christian Focus, 2018). </w:t>
      </w:r>
    </w:p>
    <w:p w14:paraId="21789E89" w14:textId="77777777" w:rsidR="00634007" w:rsidRDefault="00634007" w:rsidP="00634007">
      <w:pPr>
        <w:rPr>
          <w:rFonts w:ascii="Garamond" w:hAnsi="Garamond"/>
          <w:lang w:val="en-US"/>
        </w:rPr>
      </w:pPr>
      <w:r>
        <w:rPr>
          <w:rFonts w:ascii="Garamond" w:hAnsi="Garamond"/>
          <w:lang w:val="en-US"/>
        </w:rPr>
        <w:t xml:space="preserve">Christopher Watkin, </w:t>
      </w:r>
      <w:r>
        <w:rPr>
          <w:rFonts w:ascii="Garamond" w:hAnsi="Garamond"/>
          <w:i/>
          <w:lang w:val="en-US"/>
        </w:rPr>
        <w:t xml:space="preserve">From Plato to Postmodernism </w:t>
      </w:r>
      <w:r>
        <w:rPr>
          <w:rFonts w:ascii="Garamond" w:hAnsi="Garamond"/>
          <w:lang w:val="en-US"/>
        </w:rPr>
        <w:t>(Bristol Classical Press, 2011)</w:t>
      </w:r>
    </w:p>
    <w:p w14:paraId="71114037" w14:textId="3F0BCE09" w:rsidR="00634007" w:rsidRPr="00634007" w:rsidRDefault="00634007" w:rsidP="00634007">
      <w:pPr>
        <w:rPr>
          <w:rFonts w:ascii="Garamond" w:hAnsi="Garamond"/>
          <w:lang w:val="en-US"/>
        </w:rPr>
      </w:pPr>
      <w:r>
        <w:rPr>
          <w:rFonts w:ascii="Garamond" w:hAnsi="Garamond"/>
          <w:lang w:val="en-US"/>
        </w:rPr>
        <w:t xml:space="preserve">Christopher Watkin, </w:t>
      </w:r>
      <w:r>
        <w:rPr>
          <w:rFonts w:ascii="Garamond" w:hAnsi="Garamond"/>
          <w:i/>
          <w:lang w:val="en-US"/>
        </w:rPr>
        <w:t xml:space="preserve">Thinking Through Creation </w:t>
      </w:r>
      <w:r>
        <w:rPr>
          <w:rFonts w:ascii="Garamond" w:hAnsi="Garamond"/>
          <w:lang w:val="en-US"/>
        </w:rPr>
        <w:t xml:space="preserve">(P&amp;R, 2017) </w:t>
      </w:r>
    </w:p>
    <w:p w14:paraId="7F2C066F" w14:textId="77777777" w:rsidR="00634007" w:rsidRPr="00634007" w:rsidRDefault="00634007" w:rsidP="00634007">
      <w:pPr>
        <w:rPr>
          <w:rFonts w:ascii="Garamond" w:hAnsi="Garamond"/>
          <w:b/>
          <w:lang w:val="en-US"/>
        </w:rPr>
      </w:pPr>
    </w:p>
    <w:p w14:paraId="026BCA71" w14:textId="7C41FADB" w:rsidR="00A65EF1" w:rsidRDefault="00A65EF1" w:rsidP="00A65EF1">
      <w:pPr>
        <w:jc w:val="both"/>
        <w:rPr>
          <w:rFonts w:ascii="Garamond" w:hAnsi="Garamond"/>
          <w:lang w:val="en-US"/>
        </w:rPr>
      </w:pPr>
    </w:p>
    <w:p w14:paraId="153F80FB" w14:textId="77777777" w:rsidR="00A65EF1" w:rsidRPr="004076D5" w:rsidRDefault="00A65EF1" w:rsidP="00A65EF1">
      <w:pPr>
        <w:spacing w:before="375" w:after="100" w:afterAutospacing="1"/>
        <w:outlineLvl w:val="2"/>
        <w:rPr>
          <w:rFonts w:ascii="Garamond" w:eastAsia="Times New Roman" w:hAnsi="Garamond" w:cs="Segoe UI"/>
          <w:b/>
          <w:bCs/>
          <w:color w:val="413B41"/>
          <w:spacing w:val="-5"/>
          <w:lang w:val="en-US"/>
        </w:rPr>
      </w:pPr>
      <w:r w:rsidRPr="004076D5">
        <w:rPr>
          <w:rFonts w:ascii="Garamond" w:eastAsia="Times New Roman" w:hAnsi="Garamond" w:cs="Segoe UI"/>
          <w:b/>
          <w:bCs/>
          <w:color w:val="413B41"/>
          <w:spacing w:val="-5"/>
          <w:lang w:val="en-US"/>
        </w:rPr>
        <w:t>Grading System</w:t>
      </w:r>
    </w:p>
    <w:tbl>
      <w:tblPr>
        <w:tblW w:w="0" w:type="auto"/>
        <w:tblBorders>
          <w:top w:val="single" w:sz="24" w:space="0" w:color="EEEEEE"/>
          <w:left w:val="single" w:sz="24" w:space="0" w:color="EEEEEE"/>
          <w:bottom w:val="single" w:sz="24" w:space="0" w:color="EEEEEE"/>
          <w:right w:val="single" w:sz="24" w:space="0" w:color="EEEEEE"/>
        </w:tblBorders>
        <w:tblCellMar>
          <w:left w:w="0" w:type="dxa"/>
          <w:right w:w="0" w:type="dxa"/>
        </w:tblCellMar>
        <w:tblLook w:val="04A0" w:firstRow="1" w:lastRow="0" w:firstColumn="1" w:lastColumn="0" w:noHBand="0" w:noVBand="1"/>
      </w:tblPr>
      <w:tblGrid>
        <w:gridCol w:w="648"/>
        <w:gridCol w:w="1605"/>
        <w:gridCol w:w="700"/>
      </w:tblGrid>
      <w:tr w:rsidR="00A65EF1" w:rsidRPr="004076D5" w14:paraId="4D839BC9" w14:textId="77777777" w:rsidTr="00B822C7">
        <w:tc>
          <w:tcPr>
            <w:tcW w:w="0" w:type="auto"/>
            <w:tcBorders>
              <w:top w:val="nil"/>
              <w:left w:val="nil"/>
              <w:bottom w:val="nil"/>
              <w:right w:val="nil"/>
            </w:tcBorders>
            <w:tcMar>
              <w:top w:w="105" w:type="dxa"/>
              <w:left w:w="150" w:type="dxa"/>
              <w:bottom w:w="105" w:type="dxa"/>
              <w:right w:w="150" w:type="dxa"/>
            </w:tcMar>
            <w:hideMark/>
          </w:tcPr>
          <w:p w14:paraId="4043D861"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A</w:t>
            </w:r>
          </w:p>
        </w:tc>
        <w:tc>
          <w:tcPr>
            <w:tcW w:w="0" w:type="auto"/>
            <w:tcBorders>
              <w:top w:val="nil"/>
              <w:left w:val="nil"/>
              <w:bottom w:val="nil"/>
              <w:right w:val="nil"/>
            </w:tcBorders>
            <w:tcMar>
              <w:top w:w="105" w:type="dxa"/>
              <w:left w:w="150" w:type="dxa"/>
              <w:bottom w:w="105" w:type="dxa"/>
              <w:right w:w="150" w:type="dxa"/>
            </w:tcMar>
            <w:hideMark/>
          </w:tcPr>
          <w:p w14:paraId="05D0C7C0"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(97-100)</w:t>
            </w:r>
          </w:p>
        </w:tc>
        <w:tc>
          <w:tcPr>
            <w:tcW w:w="0" w:type="auto"/>
            <w:tcBorders>
              <w:top w:val="nil"/>
              <w:left w:val="nil"/>
              <w:bottom w:val="nil"/>
              <w:right w:val="nil"/>
            </w:tcBorders>
            <w:tcMar>
              <w:top w:w="105" w:type="dxa"/>
              <w:left w:w="150" w:type="dxa"/>
              <w:bottom w:w="105" w:type="dxa"/>
              <w:right w:w="150" w:type="dxa"/>
            </w:tcMar>
            <w:hideMark/>
          </w:tcPr>
          <w:p w14:paraId="358BC14E"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4.00</w:t>
            </w:r>
          </w:p>
        </w:tc>
      </w:tr>
      <w:tr w:rsidR="00A65EF1" w:rsidRPr="004076D5" w14:paraId="25B3055A" w14:textId="77777777" w:rsidTr="00B822C7">
        <w:tc>
          <w:tcPr>
            <w:tcW w:w="0" w:type="auto"/>
            <w:tcBorders>
              <w:top w:val="nil"/>
              <w:left w:val="nil"/>
              <w:bottom w:val="nil"/>
              <w:right w:val="nil"/>
            </w:tcBorders>
            <w:tcMar>
              <w:top w:w="105" w:type="dxa"/>
              <w:left w:w="150" w:type="dxa"/>
              <w:bottom w:w="105" w:type="dxa"/>
              <w:right w:w="150" w:type="dxa"/>
            </w:tcMar>
            <w:hideMark/>
          </w:tcPr>
          <w:p w14:paraId="4CFC4EAD"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A-</w:t>
            </w:r>
          </w:p>
        </w:tc>
        <w:tc>
          <w:tcPr>
            <w:tcW w:w="0" w:type="auto"/>
            <w:tcBorders>
              <w:top w:val="nil"/>
              <w:left w:val="nil"/>
              <w:bottom w:val="nil"/>
              <w:right w:val="nil"/>
            </w:tcBorders>
            <w:tcMar>
              <w:top w:w="105" w:type="dxa"/>
              <w:left w:w="150" w:type="dxa"/>
              <w:bottom w:w="105" w:type="dxa"/>
              <w:right w:w="150" w:type="dxa"/>
            </w:tcMar>
            <w:hideMark/>
          </w:tcPr>
          <w:p w14:paraId="066328D4"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(94-96)</w:t>
            </w:r>
          </w:p>
        </w:tc>
        <w:tc>
          <w:tcPr>
            <w:tcW w:w="0" w:type="auto"/>
            <w:tcBorders>
              <w:top w:val="nil"/>
              <w:left w:val="nil"/>
              <w:bottom w:val="nil"/>
              <w:right w:val="nil"/>
            </w:tcBorders>
            <w:tcMar>
              <w:top w:w="105" w:type="dxa"/>
              <w:left w:w="150" w:type="dxa"/>
              <w:bottom w:w="105" w:type="dxa"/>
              <w:right w:w="150" w:type="dxa"/>
            </w:tcMar>
            <w:hideMark/>
          </w:tcPr>
          <w:p w14:paraId="252208A9"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3.66</w:t>
            </w:r>
          </w:p>
        </w:tc>
      </w:tr>
      <w:tr w:rsidR="00A65EF1" w:rsidRPr="004076D5" w14:paraId="5D616E74" w14:textId="77777777" w:rsidTr="00B822C7">
        <w:tc>
          <w:tcPr>
            <w:tcW w:w="0" w:type="auto"/>
            <w:tcBorders>
              <w:top w:val="nil"/>
              <w:left w:val="nil"/>
              <w:bottom w:val="nil"/>
              <w:right w:val="nil"/>
            </w:tcBorders>
            <w:tcMar>
              <w:top w:w="105" w:type="dxa"/>
              <w:left w:w="150" w:type="dxa"/>
              <w:bottom w:w="105" w:type="dxa"/>
              <w:right w:w="150" w:type="dxa"/>
            </w:tcMar>
            <w:hideMark/>
          </w:tcPr>
          <w:p w14:paraId="5FE10BE2"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B+</w:t>
            </w:r>
          </w:p>
        </w:tc>
        <w:tc>
          <w:tcPr>
            <w:tcW w:w="0" w:type="auto"/>
            <w:tcBorders>
              <w:top w:val="nil"/>
              <w:left w:val="nil"/>
              <w:bottom w:val="nil"/>
              <w:right w:val="nil"/>
            </w:tcBorders>
            <w:tcMar>
              <w:top w:w="105" w:type="dxa"/>
              <w:left w:w="150" w:type="dxa"/>
              <w:bottom w:w="105" w:type="dxa"/>
              <w:right w:w="150" w:type="dxa"/>
            </w:tcMar>
            <w:hideMark/>
          </w:tcPr>
          <w:p w14:paraId="5791D429"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(91-93)</w:t>
            </w:r>
          </w:p>
        </w:tc>
        <w:tc>
          <w:tcPr>
            <w:tcW w:w="0" w:type="auto"/>
            <w:tcBorders>
              <w:top w:val="nil"/>
              <w:left w:val="nil"/>
              <w:bottom w:val="nil"/>
              <w:right w:val="nil"/>
            </w:tcBorders>
            <w:tcMar>
              <w:top w:w="105" w:type="dxa"/>
              <w:left w:w="150" w:type="dxa"/>
              <w:bottom w:w="105" w:type="dxa"/>
              <w:right w:w="150" w:type="dxa"/>
            </w:tcMar>
            <w:hideMark/>
          </w:tcPr>
          <w:p w14:paraId="10851ACA"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3.33</w:t>
            </w:r>
          </w:p>
        </w:tc>
      </w:tr>
      <w:tr w:rsidR="00A65EF1" w:rsidRPr="004076D5" w14:paraId="368651E4" w14:textId="77777777" w:rsidTr="00B822C7">
        <w:tc>
          <w:tcPr>
            <w:tcW w:w="0" w:type="auto"/>
            <w:tcBorders>
              <w:top w:val="nil"/>
              <w:left w:val="nil"/>
              <w:bottom w:val="nil"/>
              <w:right w:val="nil"/>
            </w:tcBorders>
            <w:tcMar>
              <w:top w:w="105" w:type="dxa"/>
              <w:left w:w="150" w:type="dxa"/>
              <w:bottom w:w="105" w:type="dxa"/>
              <w:right w:w="150" w:type="dxa"/>
            </w:tcMar>
            <w:hideMark/>
          </w:tcPr>
          <w:p w14:paraId="7DD74562"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B</w:t>
            </w:r>
          </w:p>
        </w:tc>
        <w:tc>
          <w:tcPr>
            <w:tcW w:w="0" w:type="auto"/>
            <w:tcBorders>
              <w:top w:val="nil"/>
              <w:left w:val="nil"/>
              <w:bottom w:val="nil"/>
              <w:right w:val="nil"/>
            </w:tcBorders>
            <w:tcMar>
              <w:top w:w="105" w:type="dxa"/>
              <w:left w:w="150" w:type="dxa"/>
              <w:bottom w:w="105" w:type="dxa"/>
              <w:right w:w="150" w:type="dxa"/>
            </w:tcMar>
            <w:hideMark/>
          </w:tcPr>
          <w:p w14:paraId="468DBA5C"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(88-90)</w:t>
            </w:r>
          </w:p>
        </w:tc>
        <w:tc>
          <w:tcPr>
            <w:tcW w:w="0" w:type="auto"/>
            <w:tcBorders>
              <w:top w:val="nil"/>
              <w:left w:val="nil"/>
              <w:bottom w:val="nil"/>
              <w:right w:val="nil"/>
            </w:tcBorders>
            <w:tcMar>
              <w:top w:w="105" w:type="dxa"/>
              <w:left w:w="150" w:type="dxa"/>
              <w:bottom w:w="105" w:type="dxa"/>
              <w:right w:w="150" w:type="dxa"/>
            </w:tcMar>
            <w:hideMark/>
          </w:tcPr>
          <w:p w14:paraId="46333BB4"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3.00</w:t>
            </w:r>
          </w:p>
        </w:tc>
      </w:tr>
      <w:tr w:rsidR="00A65EF1" w:rsidRPr="004076D5" w14:paraId="7EC5F1FB" w14:textId="77777777" w:rsidTr="00B822C7">
        <w:tc>
          <w:tcPr>
            <w:tcW w:w="0" w:type="auto"/>
            <w:tcBorders>
              <w:top w:val="nil"/>
              <w:left w:val="nil"/>
              <w:bottom w:val="nil"/>
              <w:right w:val="nil"/>
            </w:tcBorders>
            <w:tcMar>
              <w:top w:w="105" w:type="dxa"/>
              <w:left w:w="150" w:type="dxa"/>
              <w:bottom w:w="105" w:type="dxa"/>
              <w:right w:w="150" w:type="dxa"/>
            </w:tcMar>
            <w:hideMark/>
          </w:tcPr>
          <w:p w14:paraId="5A006813"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B-</w:t>
            </w:r>
          </w:p>
        </w:tc>
        <w:tc>
          <w:tcPr>
            <w:tcW w:w="0" w:type="auto"/>
            <w:tcBorders>
              <w:top w:val="nil"/>
              <w:left w:val="nil"/>
              <w:bottom w:val="nil"/>
              <w:right w:val="nil"/>
            </w:tcBorders>
            <w:tcMar>
              <w:top w:w="105" w:type="dxa"/>
              <w:left w:w="150" w:type="dxa"/>
              <w:bottom w:w="105" w:type="dxa"/>
              <w:right w:w="150" w:type="dxa"/>
            </w:tcMar>
            <w:hideMark/>
          </w:tcPr>
          <w:p w14:paraId="5CA58F58"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(86-87)</w:t>
            </w:r>
          </w:p>
        </w:tc>
        <w:tc>
          <w:tcPr>
            <w:tcW w:w="0" w:type="auto"/>
            <w:tcBorders>
              <w:top w:val="nil"/>
              <w:left w:val="nil"/>
              <w:bottom w:val="nil"/>
              <w:right w:val="nil"/>
            </w:tcBorders>
            <w:tcMar>
              <w:top w:w="105" w:type="dxa"/>
              <w:left w:w="150" w:type="dxa"/>
              <w:bottom w:w="105" w:type="dxa"/>
              <w:right w:w="150" w:type="dxa"/>
            </w:tcMar>
            <w:hideMark/>
          </w:tcPr>
          <w:p w14:paraId="56791921"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2.66</w:t>
            </w:r>
          </w:p>
        </w:tc>
      </w:tr>
      <w:tr w:rsidR="00A65EF1" w:rsidRPr="004076D5" w14:paraId="7DFD3950" w14:textId="77777777" w:rsidTr="00B822C7">
        <w:tc>
          <w:tcPr>
            <w:tcW w:w="0" w:type="auto"/>
            <w:tcBorders>
              <w:top w:val="nil"/>
              <w:left w:val="nil"/>
              <w:bottom w:val="nil"/>
              <w:right w:val="nil"/>
            </w:tcBorders>
            <w:tcMar>
              <w:top w:w="105" w:type="dxa"/>
              <w:left w:w="150" w:type="dxa"/>
              <w:bottom w:w="105" w:type="dxa"/>
              <w:right w:w="150" w:type="dxa"/>
            </w:tcMar>
            <w:hideMark/>
          </w:tcPr>
          <w:p w14:paraId="0AE13913"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C+</w:t>
            </w:r>
          </w:p>
        </w:tc>
        <w:tc>
          <w:tcPr>
            <w:tcW w:w="0" w:type="auto"/>
            <w:tcBorders>
              <w:top w:val="nil"/>
              <w:left w:val="nil"/>
              <w:bottom w:val="nil"/>
              <w:right w:val="nil"/>
            </w:tcBorders>
            <w:tcMar>
              <w:top w:w="105" w:type="dxa"/>
              <w:left w:w="150" w:type="dxa"/>
              <w:bottom w:w="105" w:type="dxa"/>
              <w:right w:w="150" w:type="dxa"/>
            </w:tcMar>
            <w:hideMark/>
          </w:tcPr>
          <w:p w14:paraId="7D57505C"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(83-85)</w:t>
            </w:r>
          </w:p>
        </w:tc>
        <w:tc>
          <w:tcPr>
            <w:tcW w:w="0" w:type="auto"/>
            <w:tcBorders>
              <w:top w:val="nil"/>
              <w:left w:val="nil"/>
              <w:bottom w:val="nil"/>
              <w:right w:val="nil"/>
            </w:tcBorders>
            <w:tcMar>
              <w:top w:w="105" w:type="dxa"/>
              <w:left w:w="150" w:type="dxa"/>
              <w:bottom w:w="105" w:type="dxa"/>
              <w:right w:w="150" w:type="dxa"/>
            </w:tcMar>
            <w:hideMark/>
          </w:tcPr>
          <w:p w14:paraId="19B2DE0C"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2.33</w:t>
            </w:r>
          </w:p>
        </w:tc>
      </w:tr>
      <w:tr w:rsidR="00A65EF1" w:rsidRPr="004076D5" w14:paraId="23E3BC00" w14:textId="77777777" w:rsidTr="00B822C7">
        <w:tc>
          <w:tcPr>
            <w:tcW w:w="0" w:type="auto"/>
            <w:tcBorders>
              <w:top w:val="nil"/>
              <w:left w:val="nil"/>
              <w:bottom w:val="nil"/>
              <w:right w:val="nil"/>
            </w:tcBorders>
            <w:tcMar>
              <w:top w:w="105" w:type="dxa"/>
              <w:left w:w="150" w:type="dxa"/>
              <w:bottom w:w="105" w:type="dxa"/>
              <w:right w:w="150" w:type="dxa"/>
            </w:tcMar>
            <w:hideMark/>
          </w:tcPr>
          <w:p w14:paraId="768CB2C9"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C</w:t>
            </w:r>
          </w:p>
        </w:tc>
        <w:tc>
          <w:tcPr>
            <w:tcW w:w="0" w:type="auto"/>
            <w:tcBorders>
              <w:top w:val="nil"/>
              <w:left w:val="nil"/>
              <w:bottom w:val="nil"/>
              <w:right w:val="nil"/>
            </w:tcBorders>
            <w:tcMar>
              <w:top w:w="105" w:type="dxa"/>
              <w:left w:w="150" w:type="dxa"/>
              <w:bottom w:w="105" w:type="dxa"/>
              <w:right w:w="150" w:type="dxa"/>
            </w:tcMar>
            <w:hideMark/>
          </w:tcPr>
          <w:p w14:paraId="0EB3CB9F"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(80-82)</w:t>
            </w:r>
          </w:p>
        </w:tc>
        <w:tc>
          <w:tcPr>
            <w:tcW w:w="0" w:type="auto"/>
            <w:tcBorders>
              <w:top w:val="nil"/>
              <w:left w:val="nil"/>
              <w:bottom w:val="nil"/>
              <w:right w:val="nil"/>
            </w:tcBorders>
            <w:tcMar>
              <w:top w:w="105" w:type="dxa"/>
              <w:left w:w="150" w:type="dxa"/>
              <w:bottom w:w="105" w:type="dxa"/>
              <w:right w:w="150" w:type="dxa"/>
            </w:tcMar>
            <w:hideMark/>
          </w:tcPr>
          <w:p w14:paraId="22975D51"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2.00</w:t>
            </w:r>
          </w:p>
        </w:tc>
      </w:tr>
      <w:tr w:rsidR="00A65EF1" w:rsidRPr="004076D5" w14:paraId="507B46A9" w14:textId="77777777" w:rsidTr="00B822C7">
        <w:tc>
          <w:tcPr>
            <w:tcW w:w="0" w:type="auto"/>
            <w:tcBorders>
              <w:top w:val="nil"/>
              <w:left w:val="nil"/>
              <w:bottom w:val="nil"/>
              <w:right w:val="nil"/>
            </w:tcBorders>
            <w:tcMar>
              <w:top w:w="105" w:type="dxa"/>
              <w:left w:w="150" w:type="dxa"/>
              <w:bottom w:w="105" w:type="dxa"/>
              <w:right w:w="150" w:type="dxa"/>
            </w:tcMar>
            <w:hideMark/>
          </w:tcPr>
          <w:p w14:paraId="72B02217"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C-</w:t>
            </w:r>
          </w:p>
        </w:tc>
        <w:tc>
          <w:tcPr>
            <w:tcW w:w="0" w:type="auto"/>
            <w:tcBorders>
              <w:top w:val="nil"/>
              <w:left w:val="nil"/>
              <w:bottom w:val="nil"/>
              <w:right w:val="nil"/>
            </w:tcBorders>
            <w:tcMar>
              <w:top w:w="105" w:type="dxa"/>
              <w:left w:w="150" w:type="dxa"/>
              <w:bottom w:w="105" w:type="dxa"/>
              <w:right w:w="150" w:type="dxa"/>
            </w:tcMar>
            <w:hideMark/>
          </w:tcPr>
          <w:p w14:paraId="6A18C13E"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(78-79)</w:t>
            </w:r>
          </w:p>
        </w:tc>
        <w:tc>
          <w:tcPr>
            <w:tcW w:w="0" w:type="auto"/>
            <w:tcBorders>
              <w:top w:val="nil"/>
              <w:left w:val="nil"/>
              <w:bottom w:val="nil"/>
              <w:right w:val="nil"/>
            </w:tcBorders>
            <w:tcMar>
              <w:top w:w="105" w:type="dxa"/>
              <w:left w:w="150" w:type="dxa"/>
              <w:bottom w:w="105" w:type="dxa"/>
              <w:right w:w="150" w:type="dxa"/>
            </w:tcMar>
            <w:hideMark/>
          </w:tcPr>
          <w:p w14:paraId="52BA4F26"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1.66</w:t>
            </w:r>
          </w:p>
        </w:tc>
      </w:tr>
      <w:tr w:rsidR="00A65EF1" w:rsidRPr="004076D5" w14:paraId="4F80DAE3" w14:textId="77777777" w:rsidTr="00B822C7">
        <w:tc>
          <w:tcPr>
            <w:tcW w:w="0" w:type="auto"/>
            <w:tcBorders>
              <w:top w:val="nil"/>
              <w:left w:val="nil"/>
              <w:bottom w:val="nil"/>
              <w:right w:val="nil"/>
            </w:tcBorders>
            <w:tcMar>
              <w:top w:w="105" w:type="dxa"/>
              <w:left w:w="150" w:type="dxa"/>
              <w:bottom w:w="105" w:type="dxa"/>
              <w:right w:w="150" w:type="dxa"/>
            </w:tcMar>
            <w:hideMark/>
          </w:tcPr>
          <w:p w14:paraId="2452A3C7"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D+</w:t>
            </w:r>
          </w:p>
        </w:tc>
        <w:tc>
          <w:tcPr>
            <w:tcW w:w="0" w:type="auto"/>
            <w:tcBorders>
              <w:top w:val="nil"/>
              <w:left w:val="nil"/>
              <w:bottom w:val="nil"/>
              <w:right w:val="nil"/>
            </w:tcBorders>
            <w:tcMar>
              <w:top w:w="105" w:type="dxa"/>
              <w:left w:w="150" w:type="dxa"/>
              <w:bottom w:w="105" w:type="dxa"/>
              <w:right w:w="150" w:type="dxa"/>
            </w:tcMar>
            <w:hideMark/>
          </w:tcPr>
          <w:p w14:paraId="1161CFBB"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(75-77)</w:t>
            </w:r>
          </w:p>
        </w:tc>
        <w:tc>
          <w:tcPr>
            <w:tcW w:w="0" w:type="auto"/>
            <w:tcBorders>
              <w:top w:val="nil"/>
              <w:left w:val="nil"/>
              <w:bottom w:val="nil"/>
              <w:right w:val="nil"/>
            </w:tcBorders>
            <w:tcMar>
              <w:top w:w="105" w:type="dxa"/>
              <w:left w:w="150" w:type="dxa"/>
              <w:bottom w:w="105" w:type="dxa"/>
              <w:right w:w="150" w:type="dxa"/>
            </w:tcMar>
            <w:hideMark/>
          </w:tcPr>
          <w:p w14:paraId="706AE284"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1.33</w:t>
            </w:r>
          </w:p>
        </w:tc>
      </w:tr>
      <w:tr w:rsidR="00A65EF1" w:rsidRPr="004076D5" w14:paraId="00320EF9" w14:textId="77777777" w:rsidTr="00B822C7">
        <w:tc>
          <w:tcPr>
            <w:tcW w:w="0" w:type="auto"/>
            <w:tcBorders>
              <w:top w:val="nil"/>
              <w:left w:val="nil"/>
              <w:bottom w:val="nil"/>
              <w:right w:val="nil"/>
            </w:tcBorders>
            <w:tcMar>
              <w:top w:w="105" w:type="dxa"/>
              <w:left w:w="150" w:type="dxa"/>
              <w:bottom w:w="105" w:type="dxa"/>
              <w:right w:w="150" w:type="dxa"/>
            </w:tcMar>
            <w:hideMark/>
          </w:tcPr>
          <w:p w14:paraId="1D5A16E6"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D</w:t>
            </w:r>
          </w:p>
        </w:tc>
        <w:tc>
          <w:tcPr>
            <w:tcW w:w="0" w:type="auto"/>
            <w:tcBorders>
              <w:top w:val="nil"/>
              <w:left w:val="nil"/>
              <w:bottom w:val="nil"/>
              <w:right w:val="nil"/>
            </w:tcBorders>
            <w:tcMar>
              <w:top w:w="105" w:type="dxa"/>
              <w:left w:w="150" w:type="dxa"/>
              <w:bottom w:w="105" w:type="dxa"/>
              <w:right w:w="150" w:type="dxa"/>
            </w:tcMar>
            <w:hideMark/>
          </w:tcPr>
          <w:p w14:paraId="242D46A1"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(72-74)</w:t>
            </w:r>
          </w:p>
        </w:tc>
        <w:tc>
          <w:tcPr>
            <w:tcW w:w="0" w:type="auto"/>
            <w:tcBorders>
              <w:top w:val="nil"/>
              <w:left w:val="nil"/>
              <w:bottom w:val="nil"/>
              <w:right w:val="nil"/>
            </w:tcBorders>
            <w:tcMar>
              <w:top w:w="105" w:type="dxa"/>
              <w:left w:w="150" w:type="dxa"/>
              <w:bottom w:w="105" w:type="dxa"/>
              <w:right w:w="150" w:type="dxa"/>
            </w:tcMar>
            <w:hideMark/>
          </w:tcPr>
          <w:p w14:paraId="77FB567E"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1.00</w:t>
            </w:r>
          </w:p>
        </w:tc>
      </w:tr>
      <w:tr w:rsidR="00A65EF1" w:rsidRPr="004076D5" w14:paraId="01E6EE49" w14:textId="77777777" w:rsidTr="00B822C7">
        <w:tc>
          <w:tcPr>
            <w:tcW w:w="0" w:type="auto"/>
            <w:tcBorders>
              <w:top w:val="nil"/>
              <w:left w:val="nil"/>
              <w:bottom w:val="nil"/>
              <w:right w:val="nil"/>
            </w:tcBorders>
            <w:tcMar>
              <w:top w:w="105" w:type="dxa"/>
              <w:left w:w="150" w:type="dxa"/>
              <w:bottom w:w="105" w:type="dxa"/>
              <w:right w:w="150" w:type="dxa"/>
            </w:tcMar>
            <w:hideMark/>
          </w:tcPr>
          <w:p w14:paraId="1B7508DA"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D-</w:t>
            </w:r>
          </w:p>
        </w:tc>
        <w:tc>
          <w:tcPr>
            <w:tcW w:w="0" w:type="auto"/>
            <w:tcBorders>
              <w:top w:val="nil"/>
              <w:left w:val="nil"/>
              <w:bottom w:val="nil"/>
              <w:right w:val="nil"/>
            </w:tcBorders>
            <w:tcMar>
              <w:top w:w="105" w:type="dxa"/>
              <w:left w:w="150" w:type="dxa"/>
              <w:bottom w:w="105" w:type="dxa"/>
              <w:right w:w="150" w:type="dxa"/>
            </w:tcMar>
            <w:hideMark/>
          </w:tcPr>
          <w:p w14:paraId="73E154FB"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(70-71)</w:t>
            </w:r>
          </w:p>
        </w:tc>
        <w:tc>
          <w:tcPr>
            <w:tcW w:w="0" w:type="auto"/>
            <w:tcBorders>
              <w:top w:val="nil"/>
              <w:left w:val="nil"/>
              <w:bottom w:val="nil"/>
              <w:right w:val="nil"/>
            </w:tcBorders>
            <w:tcMar>
              <w:top w:w="105" w:type="dxa"/>
              <w:left w:w="150" w:type="dxa"/>
              <w:bottom w:w="105" w:type="dxa"/>
              <w:right w:w="150" w:type="dxa"/>
            </w:tcMar>
            <w:hideMark/>
          </w:tcPr>
          <w:p w14:paraId="26861BD8"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0.66</w:t>
            </w:r>
          </w:p>
        </w:tc>
      </w:tr>
      <w:tr w:rsidR="00A65EF1" w:rsidRPr="004076D5" w14:paraId="78DB8A3E" w14:textId="77777777" w:rsidTr="00B822C7">
        <w:tc>
          <w:tcPr>
            <w:tcW w:w="0" w:type="auto"/>
            <w:tcBorders>
              <w:top w:val="nil"/>
              <w:left w:val="nil"/>
              <w:bottom w:val="nil"/>
              <w:right w:val="nil"/>
            </w:tcBorders>
            <w:tcMar>
              <w:top w:w="105" w:type="dxa"/>
              <w:left w:w="150" w:type="dxa"/>
              <w:bottom w:w="105" w:type="dxa"/>
              <w:right w:w="150" w:type="dxa"/>
            </w:tcMar>
            <w:hideMark/>
          </w:tcPr>
          <w:p w14:paraId="13501E92"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F</w:t>
            </w:r>
          </w:p>
        </w:tc>
        <w:tc>
          <w:tcPr>
            <w:tcW w:w="0" w:type="auto"/>
            <w:tcBorders>
              <w:top w:val="nil"/>
              <w:left w:val="nil"/>
              <w:bottom w:val="nil"/>
              <w:right w:val="nil"/>
            </w:tcBorders>
            <w:tcMar>
              <w:top w:w="105" w:type="dxa"/>
              <w:left w:w="150" w:type="dxa"/>
              <w:bottom w:w="105" w:type="dxa"/>
              <w:right w:w="150" w:type="dxa"/>
            </w:tcMar>
            <w:hideMark/>
          </w:tcPr>
          <w:p w14:paraId="03B1756D"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(below 70)</w:t>
            </w:r>
          </w:p>
        </w:tc>
        <w:tc>
          <w:tcPr>
            <w:tcW w:w="0" w:type="auto"/>
            <w:tcBorders>
              <w:top w:val="nil"/>
              <w:left w:val="nil"/>
              <w:bottom w:val="nil"/>
              <w:right w:val="nil"/>
            </w:tcBorders>
            <w:tcMar>
              <w:top w:w="105" w:type="dxa"/>
              <w:left w:w="150" w:type="dxa"/>
              <w:bottom w:w="105" w:type="dxa"/>
              <w:right w:w="150" w:type="dxa"/>
            </w:tcMar>
            <w:hideMark/>
          </w:tcPr>
          <w:p w14:paraId="49F28B6C"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0.00</w:t>
            </w:r>
          </w:p>
        </w:tc>
      </w:tr>
      <w:tr w:rsidR="00A65EF1" w:rsidRPr="004076D5" w14:paraId="21ACDACE" w14:textId="77777777" w:rsidTr="00B822C7">
        <w:tc>
          <w:tcPr>
            <w:tcW w:w="0" w:type="auto"/>
            <w:tcBorders>
              <w:top w:val="nil"/>
              <w:left w:val="nil"/>
              <w:bottom w:val="nil"/>
              <w:right w:val="nil"/>
            </w:tcBorders>
            <w:tcMar>
              <w:top w:w="105" w:type="dxa"/>
              <w:left w:w="150" w:type="dxa"/>
              <w:bottom w:w="105" w:type="dxa"/>
              <w:right w:w="150" w:type="dxa"/>
            </w:tcMar>
            <w:hideMark/>
          </w:tcPr>
          <w:p w14:paraId="19536ED4"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I</w:t>
            </w:r>
          </w:p>
        </w:tc>
        <w:tc>
          <w:tcPr>
            <w:tcW w:w="0" w:type="auto"/>
            <w:tcBorders>
              <w:top w:val="nil"/>
              <w:left w:val="nil"/>
              <w:bottom w:val="nil"/>
              <w:right w:val="nil"/>
            </w:tcBorders>
            <w:tcMar>
              <w:top w:w="105" w:type="dxa"/>
              <w:left w:w="150" w:type="dxa"/>
              <w:bottom w:w="105" w:type="dxa"/>
              <w:right w:w="150" w:type="dxa"/>
            </w:tcMar>
            <w:hideMark/>
          </w:tcPr>
          <w:p w14:paraId="30CF69B2"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(incomplete)</w:t>
            </w:r>
          </w:p>
        </w:tc>
        <w:tc>
          <w:tcPr>
            <w:tcW w:w="0" w:type="auto"/>
            <w:tcBorders>
              <w:top w:val="nil"/>
              <w:left w:val="nil"/>
              <w:bottom w:val="nil"/>
              <w:right w:val="nil"/>
            </w:tcBorders>
            <w:tcMar>
              <w:top w:w="105" w:type="dxa"/>
              <w:left w:w="150" w:type="dxa"/>
              <w:bottom w:w="105" w:type="dxa"/>
              <w:right w:w="150" w:type="dxa"/>
            </w:tcMar>
            <w:hideMark/>
          </w:tcPr>
          <w:p w14:paraId="2016B1B9"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 –</w:t>
            </w:r>
          </w:p>
        </w:tc>
      </w:tr>
      <w:tr w:rsidR="00A65EF1" w:rsidRPr="004076D5" w14:paraId="0424088A" w14:textId="77777777" w:rsidTr="00B822C7">
        <w:tc>
          <w:tcPr>
            <w:tcW w:w="0" w:type="auto"/>
            <w:tcBorders>
              <w:top w:val="nil"/>
              <w:left w:val="nil"/>
              <w:bottom w:val="nil"/>
              <w:right w:val="nil"/>
            </w:tcBorders>
            <w:tcMar>
              <w:top w:w="105" w:type="dxa"/>
              <w:left w:w="150" w:type="dxa"/>
              <w:bottom w:w="105" w:type="dxa"/>
              <w:right w:w="150" w:type="dxa"/>
            </w:tcMar>
            <w:hideMark/>
          </w:tcPr>
          <w:p w14:paraId="7F52C715"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W</w:t>
            </w:r>
          </w:p>
        </w:tc>
        <w:tc>
          <w:tcPr>
            <w:tcW w:w="0" w:type="auto"/>
            <w:tcBorders>
              <w:top w:val="nil"/>
              <w:left w:val="nil"/>
              <w:bottom w:val="nil"/>
              <w:right w:val="nil"/>
            </w:tcBorders>
            <w:tcMar>
              <w:top w:w="105" w:type="dxa"/>
              <w:left w:w="150" w:type="dxa"/>
              <w:bottom w:w="105" w:type="dxa"/>
              <w:right w:w="150" w:type="dxa"/>
            </w:tcMar>
            <w:hideMark/>
          </w:tcPr>
          <w:p w14:paraId="25AC5DF4"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(withdraw)</w:t>
            </w:r>
          </w:p>
        </w:tc>
        <w:tc>
          <w:tcPr>
            <w:tcW w:w="0" w:type="auto"/>
            <w:tcBorders>
              <w:top w:val="nil"/>
              <w:left w:val="nil"/>
              <w:bottom w:val="nil"/>
              <w:right w:val="nil"/>
            </w:tcBorders>
            <w:tcMar>
              <w:top w:w="105" w:type="dxa"/>
              <w:left w:w="150" w:type="dxa"/>
              <w:bottom w:w="105" w:type="dxa"/>
              <w:right w:w="150" w:type="dxa"/>
            </w:tcMar>
            <w:hideMark/>
          </w:tcPr>
          <w:p w14:paraId="609D0DB7"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 –</w:t>
            </w:r>
          </w:p>
        </w:tc>
      </w:tr>
    </w:tbl>
    <w:p w14:paraId="470DB169" w14:textId="77777777" w:rsidR="00A65EF1" w:rsidRPr="004076D5" w:rsidRDefault="00A65EF1" w:rsidP="00A65EF1">
      <w:pPr>
        <w:spacing w:after="100" w:afterAutospacing="1"/>
        <w:rPr>
          <w:rFonts w:ascii="Garamond" w:eastAsia="Times New Roman" w:hAnsi="Garamond" w:cs="Segoe UI"/>
          <w:color w:val="413B41"/>
          <w:lang w:val="en-US"/>
        </w:rPr>
      </w:pPr>
      <w:r w:rsidRPr="004076D5">
        <w:rPr>
          <w:rFonts w:ascii="Garamond" w:eastAsia="Times New Roman" w:hAnsi="Garamond" w:cs="Segoe UI"/>
          <w:color w:val="413B41"/>
          <w:lang w:val="en-US"/>
        </w:rPr>
        <w:lastRenderedPageBreak/>
        <w:t>The grade “I” indicates that the work required for the course was not completed. It is given only when special, extenuating circumstances (such as illness) prevent the student from completing the work or taking the examination.</w:t>
      </w:r>
    </w:p>
    <w:p w14:paraId="735BEA53" w14:textId="77777777" w:rsidR="00A65EF1" w:rsidRPr="004076D5" w:rsidRDefault="00A65EF1" w:rsidP="00A65EF1">
      <w:pPr>
        <w:spacing w:after="100" w:afterAutospacing="1"/>
        <w:rPr>
          <w:rFonts w:ascii="Garamond" w:eastAsia="Times New Roman" w:hAnsi="Garamond" w:cs="Segoe UI"/>
          <w:color w:val="413B41"/>
          <w:lang w:val="en-US"/>
        </w:rPr>
      </w:pPr>
      <w:r w:rsidRPr="004076D5">
        <w:rPr>
          <w:rFonts w:ascii="Garamond" w:eastAsia="Times New Roman" w:hAnsi="Garamond" w:cs="Segoe UI"/>
          <w:color w:val="413B41"/>
          <w:lang w:val="en-US"/>
        </w:rPr>
        <w:t>A written request for an extension must be submitted prior to the due date of the work concerned. If the request is granted, it remains the responsibility of the student to complete all work for the course as soon as possible. In any case, an “I” grade must be removed within the extension time granted; otherwise it will be changed to “F.”</w:t>
      </w:r>
    </w:p>
    <w:p w14:paraId="2839628C" w14:textId="77777777" w:rsidR="00A65EF1" w:rsidRDefault="00A65EF1" w:rsidP="00A65EF1">
      <w:pPr>
        <w:spacing w:after="100" w:afterAutospacing="1"/>
        <w:rPr>
          <w:rFonts w:ascii="Garamond" w:eastAsia="Times New Roman" w:hAnsi="Garamond" w:cs="Segoe UI"/>
          <w:color w:val="413B41"/>
          <w:lang w:val="en-US"/>
        </w:rPr>
      </w:pPr>
      <w:r w:rsidRPr="004076D5">
        <w:rPr>
          <w:rFonts w:ascii="Garamond" w:eastAsia="Times New Roman" w:hAnsi="Garamond" w:cs="Segoe UI"/>
          <w:color w:val="413B41"/>
          <w:lang w:val="en-US"/>
        </w:rPr>
        <w:t>The grade “W” indicates that a student has withdrawn from a course after the drop deadline. This grade is grant</w:t>
      </w:r>
      <w:bookmarkStart w:id="0" w:name="_GoBack"/>
      <w:bookmarkEnd w:id="0"/>
      <w:r w:rsidRPr="004076D5">
        <w:rPr>
          <w:rFonts w:ascii="Garamond" w:eastAsia="Times New Roman" w:hAnsi="Garamond" w:cs="Segoe UI"/>
          <w:color w:val="413B41"/>
          <w:lang w:val="en-US"/>
        </w:rPr>
        <w:t>ed by the academic dean only in extenuating circumstances.</w:t>
      </w:r>
    </w:p>
    <w:p w14:paraId="3C865A05" w14:textId="77777777" w:rsidR="00A65EF1" w:rsidRPr="004076D5" w:rsidRDefault="00A65EF1" w:rsidP="00A65EF1">
      <w:pPr>
        <w:spacing w:after="100" w:afterAutospacing="1"/>
        <w:rPr>
          <w:rFonts w:ascii="Garamond" w:eastAsia="Times New Roman" w:hAnsi="Garamond" w:cs="Segoe UI"/>
          <w:color w:val="413B41"/>
          <w:lang w:val="en-US"/>
        </w:rPr>
      </w:pPr>
      <w:r w:rsidRPr="004076D5">
        <w:rPr>
          <w:rFonts w:ascii="Garamond" w:eastAsia="Times New Roman" w:hAnsi="Garamond" w:cs="Segoe UI"/>
          <w:color w:val="413B41"/>
          <w:lang w:val="en-US"/>
        </w:rPr>
        <w:t>If a course is retaken, the original grade remains on the transcript and is included in the GPA.</w:t>
      </w:r>
      <w:r w:rsidRPr="004076D5">
        <w:rPr>
          <w:rFonts w:ascii="Garamond" w:eastAsia="Times New Roman" w:hAnsi="Garamond" w:cs="Segoe UI"/>
          <w:color w:val="413B41"/>
          <w:lang w:val="en-US"/>
        </w:rPr>
        <w:br/>
      </w:r>
    </w:p>
    <w:p w14:paraId="793E4CBD" w14:textId="77777777" w:rsidR="00A65EF1" w:rsidRPr="004076D5" w:rsidRDefault="00A65EF1" w:rsidP="00A65EF1">
      <w:pPr>
        <w:spacing w:after="100" w:afterAutospacing="1"/>
        <w:rPr>
          <w:rFonts w:ascii="Garamond" w:eastAsia="Times New Roman" w:hAnsi="Garamond" w:cs="Segoe UI"/>
          <w:color w:val="413B41"/>
          <w:lang w:val="en-US"/>
        </w:rPr>
      </w:pPr>
    </w:p>
    <w:p w14:paraId="6612F3E1" w14:textId="77777777" w:rsidR="00A65EF1" w:rsidRDefault="00A65EF1" w:rsidP="00A65EF1">
      <w:pPr>
        <w:pStyle w:val="NoSpacing"/>
        <w:jc w:val="center"/>
      </w:pPr>
      <w:r w:rsidRPr="000744D3">
        <w:rPr>
          <w:noProof/>
        </w:rPr>
        <w:drawing>
          <wp:inline distT="0" distB="0" distL="0" distR="0" wp14:anchorId="793B3619" wp14:editId="6F974AA0">
            <wp:extent cx="5950585" cy="689610"/>
            <wp:effectExtent l="0" t="0" r="0" b="0"/>
            <wp:docPr id="1" name="Picture 1" descr="System-Long-Name-72-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0585" cy="689610"/>
                    </a:xfrm>
                    <a:prstGeom prst="rect">
                      <a:avLst/>
                    </a:prstGeom>
                    <a:noFill/>
                    <a:ln>
                      <a:noFill/>
                    </a:ln>
                  </pic:spPr>
                </pic:pic>
              </a:graphicData>
            </a:graphic>
          </wp:inline>
        </w:drawing>
      </w:r>
    </w:p>
    <w:p w14:paraId="0022FD72" w14:textId="77777777" w:rsidR="00A65EF1" w:rsidRDefault="00A65EF1" w:rsidP="00A65EF1">
      <w:pPr>
        <w:pStyle w:val="NoSpacing"/>
        <w:jc w:val="center"/>
        <w:rPr>
          <w:b/>
          <w:sz w:val="24"/>
          <w:szCs w:val="24"/>
        </w:rPr>
      </w:pPr>
      <w:r>
        <w:rPr>
          <w:b/>
          <w:sz w:val="24"/>
          <w:szCs w:val="24"/>
        </w:rPr>
        <w:t>Course Objectives Related to MDiv* Student Learning Outcomes</w:t>
      </w:r>
    </w:p>
    <w:p w14:paraId="5961B7CF" w14:textId="24759DE0" w:rsidR="00A65EF1" w:rsidRDefault="00A65EF1" w:rsidP="00A65EF1">
      <w:pPr>
        <w:pStyle w:val="NoSpacing"/>
      </w:pPr>
      <w:r>
        <w:t>Course</w:t>
      </w:r>
      <w:r w:rsidRPr="00E338D4">
        <w:t>:</w:t>
      </w:r>
      <w:r>
        <w:t xml:space="preserve"> ST 5450 </w:t>
      </w:r>
      <w:r>
        <w:tab/>
        <w:t xml:space="preserve"> </w:t>
      </w:r>
    </w:p>
    <w:p w14:paraId="14D55F4A" w14:textId="77777777" w:rsidR="00A65EF1" w:rsidRDefault="00A65EF1" w:rsidP="00A65EF1">
      <w:pPr>
        <w:pStyle w:val="NoSpacing"/>
        <w:rPr>
          <w:sz w:val="18"/>
          <w:szCs w:val="18"/>
        </w:rPr>
      </w:pPr>
      <w:r>
        <w:t xml:space="preserve">Professor: </w:t>
      </w:r>
      <w:proofErr w:type="spellStart"/>
      <w:r>
        <w:t>Sutanto</w:t>
      </w:r>
      <w:proofErr w:type="spellEnd"/>
      <w:r>
        <w:tab/>
      </w:r>
    </w:p>
    <w:p w14:paraId="58B548A3" w14:textId="77777777" w:rsidR="00A65EF1" w:rsidRDefault="00A65EF1" w:rsidP="00A65EF1">
      <w:pPr>
        <w:pStyle w:val="NoSpacing"/>
        <w:rPr>
          <w:sz w:val="18"/>
          <w:szCs w:val="18"/>
        </w:rPr>
      </w:pPr>
      <w:r>
        <w:t>Campus: Washington, D.C.</w:t>
      </w:r>
      <w:r>
        <w:tab/>
      </w:r>
    </w:p>
    <w:p w14:paraId="3DB07C3E" w14:textId="639AB5C7" w:rsidR="00A65EF1" w:rsidRDefault="00A65EF1" w:rsidP="00A65EF1">
      <w:pPr>
        <w:pStyle w:val="NoSpacing"/>
        <w:rPr>
          <w:sz w:val="18"/>
          <w:szCs w:val="18"/>
        </w:rPr>
      </w:pPr>
      <w:r>
        <w:t>Date: Spring 2020</w:t>
      </w:r>
    </w:p>
    <w:p w14:paraId="369B26FF" w14:textId="77777777" w:rsidR="00A65EF1" w:rsidRPr="00E1336F" w:rsidRDefault="00A65EF1" w:rsidP="00A65EF1">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A65EF1" w:rsidRPr="009B22DE" w14:paraId="1F57F237" w14:textId="77777777" w:rsidTr="00B822C7">
        <w:trPr>
          <w:trHeight w:val="1294"/>
        </w:trPr>
        <w:tc>
          <w:tcPr>
            <w:tcW w:w="5238" w:type="dxa"/>
            <w:gridSpan w:val="2"/>
            <w:tcBorders>
              <w:right w:val="single" w:sz="4" w:space="0" w:color="auto"/>
            </w:tcBorders>
          </w:tcPr>
          <w:p w14:paraId="7933E19F" w14:textId="77777777" w:rsidR="00A65EF1" w:rsidRDefault="00A65EF1" w:rsidP="00B822C7">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56637A8F" w14:textId="77777777" w:rsidR="00A65EF1" w:rsidRPr="008832AD" w:rsidRDefault="00A65EF1" w:rsidP="00B822C7">
            <w:pPr>
              <w:pStyle w:val="NoSpacing"/>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4161AC12" w14:textId="77777777" w:rsidR="00A65EF1" w:rsidRPr="008832AD" w:rsidRDefault="00A65EF1" w:rsidP="00B822C7">
            <w:pPr>
              <w:pStyle w:val="NoSpacing"/>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5B130C7F" w14:textId="77777777" w:rsidR="00A65EF1" w:rsidRDefault="00A65EF1" w:rsidP="00B822C7">
            <w:pPr>
              <w:pStyle w:val="NoSpacing"/>
              <w:jc w:val="center"/>
              <w:rPr>
                <w:b/>
                <w:sz w:val="28"/>
                <w:szCs w:val="28"/>
                <w:u w:val="single"/>
              </w:rPr>
            </w:pPr>
            <w:r>
              <w:rPr>
                <w:b/>
                <w:sz w:val="28"/>
                <w:szCs w:val="28"/>
                <w:u w:val="single"/>
              </w:rPr>
              <w:t>Rubric</w:t>
            </w:r>
          </w:p>
          <w:p w14:paraId="04D35BCD" w14:textId="77777777" w:rsidR="00A65EF1" w:rsidRPr="00F111D7" w:rsidRDefault="00A65EF1" w:rsidP="00A65EF1">
            <w:pPr>
              <w:pStyle w:val="NoSpacing"/>
              <w:numPr>
                <w:ilvl w:val="0"/>
                <w:numId w:val="2"/>
              </w:numPr>
              <w:ind w:hanging="200"/>
              <w:jc w:val="both"/>
              <w:rPr>
                <w:b/>
                <w:sz w:val="18"/>
                <w:szCs w:val="18"/>
              </w:rPr>
            </w:pPr>
            <w:r w:rsidRPr="00F111D7">
              <w:rPr>
                <w:b/>
                <w:sz w:val="18"/>
                <w:szCs w:val="18"/>
              </w:rPr>
              <w:t>Strong</w:t>
            </w:r>
          </w:p>
          <w:p w14:paraId="3B757E05" w14:textId="77777777" w:rsidR="00A65EF1" w:rsidRPr="00F111D7" w:rsidRDefault="00A65EF1" w:rsidP="00A65EF1">
            <w:pPr>
              <w:pStyle w:val="NoSpacing"/>
              <w:numPr>
                <w:ilvl w:val="0"/>
                <w:numId w:val="2"/>
              </w:numPr>
              <w:ind w:hanging="200"/>
              <w:jc w:val="both"/>
              <w:rPr>
                <w:b/>
                <w:sz w:val="18"/>
                <w:szCs w:val="18"/>
              </w:rPr>
            </w:pPr>
            <w:r w:rsidRPr="00F111D7">
              <w:rPr>
                <w:b/>
                <w:sz w:val="18"/>
                <w:szCs w:val="18"/>
              </w:rPr>
              <w:t>Moderate</w:t>
            </w:r>
          </w:p>
          <w:p w14:paraId="257068A6" w14:textId="77777777" w:rsidR="00A65EF1" w:rsidRDefault="00A65EF1" w:rsidP="00A65EF1">
            <w:pPr>
              <w:pStyle w:val="NoSpacing"/>
              <w:numPr>
                <w:ilvl w:val="0"/>
                <w:numId w:val="2"/>
              </w:numPr>
              <w:ind w:hanging="200"/>
              <w:jc w:val="both"/>
              <w:rPr>
                <w:b/>
                <w:sz w:val="18"/>
                <w:szCs w:val="18"/>
              </w:rPr>
            </w:pPr>
            <w:r w:rsidRPr="00F111D7">
              <w:rPr>
                <w:b/>
                <w:sz w:val="18"/>
                <w:szCs w:val="18"/>
              </w:rPr>
              <w:t>Minimal</w:t>
            </w:r>
          </w:p>
          <w:p w14:paraId="646B722F" w14:textId="77777777" w:rsidR="00A65EF1" w:rsidRPr="00F111D7" w:rsidRDefault="00A65EF1" w:rsidP="00A65EF1">
            <w:pPr>
              <w:pStyle w:val="NoSpacing"/>
              <w:numPr>
                <w:ilvl w:val="0"/>
                <w:numId w:val="2"/>
              </w:numPr>
              <w:ind w:hanging="200"/>
              <w:jc w:val="both"/>
              <w:rPr>
                <w:b/>
                <w:sz w:val="18"/>
                <w:szCs w:val="18"/>
              </w:rPr>
            </w:pPr>
            <w:r>
              <w:rPr>
                <w:b/>
                <w:sz w:val="18"/>
                <w:szCs w:val="18"/>
              </w:rPr>
              <w:t>None</w:t>
            </w:r>
          </w:p>
        </w:tc>
        <w:tc>
          <w:tcPr>
            <w:tcW w:w="2250" w:type="dxa"/>
            <w:tcBorders>
              <w:right w:val="single" w:sz="4" w:space="0" w:color="auto"/>
            </w:tcBorders>
          </w:tcPr>
          <w:p w14:paraId="090852AA" w14:textId="77777777" w:rsidR="00A65EF1" w:rsidRPr="004036B5" w:rsidRDefault="00A65EF1" w:rsidP="00B822C7">
            <w:pPr>
              <w:pStyle w:val="NoSpacing"/>
              <w:jc w:val="center"/>
              <w:rPr>
                <w:b/>
                <w:sz w:val="28"/>
                <w:szCs w:val="28"/>
                <w:u w:val="single"/>
              </w:rPr>
            </w:pPr>
            <w:r>
              <w:rPr>
                <w:b/>
                <w:sz w:val="28"/>
                <w:szCs w:val="28"/>
                <w:u w:val="single"/>
              </w:rPr>
              <w:t>Mini-Justification</w:t>
            </w:r>
          </w:p>
        </w:tc>
      </w:tr>
      <w:tr w:rsidR="00A65EF1" w:rsidRPr="009B22DE" w14:paraId="4008A2C2" w14:textId="77777777" w:rsidTr="00B822C7">
        <w:tc>
          <w:tcPr>
            <w:tcW w:w="1458" w:type="dxa"/>
            <w:tcBorders>
              <w:right w:val="single" w:sz="4" w:space="0" w:color="auto"/>
            </w:tcBorders>
          </w:tcPr>
          <w:p w14:paraId="0BF3F323" w14:textId="77777777" w:rsidR="00A65EF1" w:rsidRPr="00373E24" w:rsidRDefault="00A65EF1" w:rsidP="00B822C7">
            <w:pPr>
              <w:pStyle w:val="NoSpacing"/>
              <w:rPr>
                <w:b/>
                <w:sz w:val="20"/>
                <w:szCs w:val="20"/>
              </w:rPr>
            </w:pPr>
            <w:r w:rsidRPr="00373E24">
              <w:rPr>
                <w:b/>
                <w:sz w:val="20"/>
                <w:szCs w:val="20"/>
              </w:rPr>
              <w:t xml:space="preserve">Articulation </w:t>
            </w:r>
          </w:p>
          <w:p w14:paraId="28C3404F" w14:textId="77777777" w:rsidR="00A65EF1" w:rsidRPr="00373E24" w:rsidRDefault="00A65EF1" w:rsidP="00B822C7">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6586F22F" w14:textId="77777777" w:rsidR="00A65EF1" w:rsidRPr="00373E24" w:rsidRDefault="00A65EF1" w:rsidP="00B822C7">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0505ECF7" w14:textId="77777777" w:rsidR="00A65EF1" w:rsidRPr="009B22DE" w:rsidRDefault="00A65EF1" w:rsidP="00B822C7">
            <w:pPr>
              <w:pStyle w:val="NoSpacing"/>
            </w:pPr>
            <w:r>
              <w:t>Strong</w:t>
            </w:r>
          </w:p>
        </w:tc>
        <w:tc>
          <w:tcPr>
            <w:tcW w:w="2250" w:type="dxa"/>
            <w:tcBorders>
              <w:left w:val="single" w:sz="4" w:space="0" w:color="auto"/>
            </w:tcBorders>
          </w:tcPr>
          <w:p w14:paraId="4F6064D2" w14:textId="48D22469" w:rsidR="00A65EF1" w:rsidRPr="00FB3E7E" w:rsidRDefault="00A65EF1" w:rsidP="00B822C7">
            <w:pPr>
              <w:pStyle w:val="NoSpacing"/>
              <w:rPr>
                <w:color w:val="000000" w:themeColor="text1"/>
                <w:sz w:val="20"/>
                <w:szCs w:val="20"/>
              </w:rPr>
            </w:pPr>
            <w:r>
              <w:rPr>
                <w:color w:val="000000" w:themeColor="text1"/>
                <w:sz w:val="20"/>
                <w:szCs w:val="20"/>
              </w:rPr>
              <w:t xml:space="preserve">Reading, lectures, and writing, focus on content, clarity, persuasive argumentation, and logical analysis. </w:t>
            </w:r>
          </w:p>
        </w:tc>
      </w:tr>
      <w:tr w:rsidR="00A65EF1" w:rsidRPr="009B22DE" w14:paraId="6DA89792" w14:textId="77777777" w:rsidTr="00B822C7">
        <w:tc>
          <w:tcPr>
            <w:tcW w:w="1458" w:type="dxa"/>
            <w:tcBorders>
              <w:right w:val="single" w:sz="4" w:space="0" w:color="auto"/>
            </w:tcBorders>
          </w:tcPr>
          <w:p w14:paraId="2658B77B" w14:textId="77777777" w:rsidR="00A65EF1" w:rsidRPr="00373E24" w:rsidRDefault="00A65EF1" w:rsidP="00B822C7">
            <w:pPr>
              <w:pStyle w:val="NoSpacing"/>
              <w:rPr>
                <w:b/>
                <w:sz w:val="20"/>
                <w:szCs w:val="20"/>
              </w:rPr>
            </w:pPr>
            <w:r w:rsidRPr="00373E24">
              <w:rPr>
                <w:b/>
                <w:sz w:val="20"/>
                <w:szCs w:val="20"/>
              </w:rPr>
              <w:t>Scripture</w:t>
            </w:r>
          </w:p>
          <w:p w14:paraId="3483BCB5" w14:textId="77777777" w:rsidR="00A65EF1" w:rsidRPr="00373E24" w:rsidRDefault="00A65EF1" w:rsidP="00B822C7">
            <w:pPr>
              <w:pStyle w:val="NoSpacing"/>
              <w:rPr>
                <w:b/>
                <w:sz w:val="20"/>
                <w:szCs w:val="20"/>
              </w:rPr>
            </w:pPr>
          </w:p>
          <w:p w14:paraId="3CEB291F" w14:textId="77777777" w:rsidR="00A65EF1" w:rsidRPr="00373E24" w:rsidRDefault="00A65EF1" w:rsidP="00B822C7">
            <w:pPr>
              <w:pStyle w:val="NoSpacing"/>
              <w:rPr>
                <w:b/>
                <w:sz w:val="20"/>
                <w:szCs w:val="20"/>
              </w:rPr>
            </w:pPr>
          </w:p>
        </w:tc>
        <w:tc>
          <w:tcPr>
            <w:tcW w:w="3780" w:type="dxa"/>
            <w:tcBorders>
              <w:left w:val="single" w:sz="4" w:space="0" w:color="auto"/>
              <w:right w:val="single" w:sz="4" w:space="0" w:color="auto"/>
            </w:tcBorders>
          </w:tcPr>
          <w:p w14:paraId="24955B09" w14:textId="77777777" w:rsidR="00A65EF1" w:rsidRPr="00373E24" w:rsidRDefault="00A65EF1" w:rsidP="00B822C7">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10D23AC5" w14:textId="1CF26095" w:rsidR="00A65EF1" w:rsidRPr="009B22DE" w:rsidRDefault="004115B1" w:rsidP="00B822C7">
            <w:pPr>
              <w:pStyle w:val="NoSpacing"/>
            </w:pPr>
            <w:r>
              <w:t>Moderate</w:t>
            </w:r>
          </w:p>
        </w:tc>
        <w:tc>
          <w:tcPr>
            <w:tcW w:w="2250" w:type="dxa"/>
            <w:tcBorders>
              <w:left w:val="single" w:sz="4" w:space="0" w:color="auto"/>
            </w:tcBorders>
          </w:tcPr>
          <w:p w14:paraId="6C254A84" w14:textId="7EC14564" w:rsidR="00A65EF1" w:rsidRPr="00B12506" w:rsidRDefault="00A65EF1" w:rsidP="00B822C7">
            <w:pPr>
              <w:pStyle w:val="NoSpacing"/>
              <w:rPr>
                <w:sz w:val="20"/>
                <w:szCs w:val="20"/>
              </w:rPr>
            </w:pPr>
            <w:r>
              <w:rPr>
                <w:sz w:val="20"/>
                <w:szCs w:val="20"/>
              </w:rPr>
              <w:t xml:space="preserve">Lectures and reading will emphasize that Scripture is a resource, rather than a hindrance, for apologetics.  </w:t>
            </w:r>
          </w:p>
        </w:tc>
      </w:tr>
      <w:tr w:rsidR="00A65EF1" w:rsidRPr="009B22DE" w14:paraId="7434D02F" w14:textId="77777777" w:rsidTr="00B822C7">
        <w:tc>
          <w:tcPr>
            <w:tcW w:w="1458" w:type="dxa"/>
            <w:tcBorders>
              <w:right w:val="single" w:sz="4" w:space="0" w:color="auto"/>
            </w:tcBorders>
          </w:tcPr>
          <w:p w14:paraId="77CBB259" w14:textId="77777777" w:rsidR="00A65EF1" w:rsidRPr="00373E24" w:rsidRDefault="00A65EF1" w:rsidP="00B822C7">
            <w:pPr>
              <w:pStyle w:val="NoSpacing"/>
              <w:rPr>
                <w:b/>
                <w:sz w:val="20"/>
                <w:szCs w:val="20"/>
              </w:rPr>
            </w:pPr>
            <w:r w:rsidRPr="00373E24">
              <w:rPr>
                <w:b/>
                <w:sz w:val="20"/>
                <w:szCs w:val="20"/>
              </w:rPr>
              <w:t>Reformed Theology</w:t>
            </w:r>
          </w:p>
          <w:p w14:paraId="5C85F957" w14:textId="77777777" w:rsidR="00A65EF1" w:rsidRPr="00373E24" w:rsidRDefault="00A65EF1" w:rsidP="00B822C7">
            <w:pPr>
              <w:pStyle w:val="NoSpacing"/>
              <w:rPr>
                <w:b/>
                <w:sz w:val="20"/>
                <w:szCs w:val="20"/>
              </w:rPr>
            </w:pPr>
          </w:p>
          <w:p w14:paraId="1ABB65EF" w14:textId="77777777" w:rsidR="00A65EF1" w:rsidRPr="00373E24" w:rsidRDefault="00A65EF1" w:rsidP="00B822C7">
            <w:pPr>
              <w:pStyle w:val="NoSpacing"/>
              <w:rPr>
                <w:b/>
                <w:sz w:val="20"/>
                <w:szCs w:val="20"/>
              </w:rPr>
            </w:pPr>
          </w:p>
        </w:tc>
        <w:tc>
          <w:tcPr>
            <w:tcW w:w="3780" w:type="dxa"/>
            <w:tcBorders>
              <w:left w:val="single" w:sz="4" w:space="0" w:color="auto"/>
              <w:right w:val="single" w:sz="4" w:space="0" w:color="auto"/>
            </w:tcBorders>
          </w:tcPr>
          <w:p w14:paraId="224247CF" w14:textId="77777777" w:rsidR="00A65EF1" w:rsidRPr="00373E24" w:rsidRDefault="00A65EF1" w:rsidP="00B822C7">
            <w:pPr>
              <w:pStyle w:val="NoSpacing"/>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63C99CB3" w14:textId="2B0C2299" w:rsidR="00A65EF1" w:rsidRPr="009B22DE" w:rsidRDefault="004115B1" w:rsidP="00B822C7">
            <w:pPr>
              <w:pStyle w:val="NoSpacing"/>
            </w:pPr>
            <w:r>
              <w:t>Strong</w:t>
            </w:r>
          </w:p>
        </w:tc>
        <w:tc>
          <w:tcPr>
            <w:tcW w:w="2250" w:type="dxa"/>
            <w:tcBorders>
              <w:left w:val="single" w:sz="4" w:space="0" w:color="auto"/>
            </w:tcBorders>
          </w:tcPr>
          <w:p w14:paraId="488D6A53" w14:textId="45D1779E" w:rsidR="00A65EF1" w:rsidRPr="00B12506" w:rsidRDefault="00A65EF1" w:rsidP="00B822C7">
            <w:pPr>
              <w:pStyle w:val="NoSpacing"/>
              <w:rPr>
                <w:sz w:val="20"/>
                <w:szCs w:val="20"/>
              </w:rPr>
            </w:pPr>
            <w:r>
              <w:rPr>
                <w:sz w:val="20"/>
                <w:szCs w:val="20"/>
              </w:rPr>
              <w:t>Lectures and reading will show how Reformed theology impacts our understanding of apologetics.</w:t>
            </w:r>
          </w:p>
        </w:tc>
      </w:tr>
      <w:tr w:rsidR="00A65EF1" w:rsidRPr="009B22DE" w14:paraId="5672A4BF" w14:textId="77777777" w:rsidTr="00B822C7">
        <w:tc>
          <w:tcPr>
            <w:tcW w:w="1458" w:type="dxa"/>
            <w:tcBorders>
              <w:right w:val="single" w:sz="4" w:space="0" w:color="auto"/>
            </w:tcBorders>
          </w:tcPr>
          <w:p w14:paraId="292399B4" w14:textId="77777777" w:rsidR="00A65EF1" w:rsidRPr="00373E24" w:rsidRDefault="00A65EF1" w:rsidP="00B822C7">
            <w:pPr>
              <w:pStyle w:val="NoSpacing"/>
              <w:rPr>
                <w:b/>
                <w:sz w:val="20"/>
                <w:szCs w:val="20"/>
              </w:rPr>
            </w:pPr>
            <w:r w:rsidRPr="00373E24">
              <w:rPr>
                <w:b/>
                <w:sz w:val="20"/>
                <w:szCs w:val="20"/>
              </w:rPr>
              <w:t>Sanctification</w:t>
            </w:r>
          </w:p>
          <w:p w14:paraId="55CC6754" w14:textId="77777777" w:rsidR="00A65EF1" w:rsidRPr="00373E24" w:rsidRDefault="00A65EF1" w:rsidP="00B822C7">
            <w:pPr>
              <w:pStyle w:val="NoSpacing"/>
              <w:rPr>
                <w:b/>
                <w:sz w:val="20"/>
                <w:szCs w:val="20"/>
              </w:rPr>
            </w:pPr>
          </w:p>
          <w:p w14:paraId="1DA4F2A9" w14:textId="77777777" w:rsidR="00A65EF1" w:rsidRPr="00373E24" w:rsidRDefault="00A65EF1" w:rsidP="00B822C7">
            <w:pPr>
              <w:pStyle w:val="NoSpacing"/>
              <w:rPr>
                <w:b/>
                <w:sz w:val="20"/>
                <w:szCs w:val="20"/>
              </w:rPr>
            </w:pPr>
          </w:p>
        </w:tc>
        <w:tc>
          <w:tcPr>
            <w:tcW w:w="3780" w:type="dxa"/>
            <w:tcBorders>
              <w:left w:val="single" w:sz="4" w:space="0" w:color="auto"/>
              <w:right w:val="single" w:sz="4" w:space="0" w:color="auto"/>
            </w:tcBorders>
          </w:tcPr>
          <w:p w14:paraId="5BFDFB82" w14:textId="77777777" w:rsidR="00A65EF1" w:rsidRPr="00373E24" w:rsidRDefault="00A65EF1" w:rsidP="00B822C7">
            <w:pPr>
              <w:pStyle w:val="NoSpacing"/>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39A69A52" w14:textId="66600F82" w:rsidR="00A65EF1" w:rsidRPr="009B22DE" w:rsidRDefault="00A65EF1" w:rsidP="00B822C7">
            <w:pPr>
              <w:pStyle w:val="NoSpacing"/>
            </w:pPr>
            <w:r>
              <w:t>Minimal</w:t>
            </w:r>
          </w:p>
        </w:tc>
        <w:tc>
          <w:tcPr>
            <w:tcW w:w="2250" w:type="dxa"/>
            <w:tcBorders>
              <w:left w:val="single" w:sz="4" w:space="0" w:color="auto"/>
            </w:tcBorders>
          </w:tcPr>
          <w:p w14:paraId="477B0B70" w14:textId="3120FE31" w:rsidR="00A65EF1" w:rsidRPr="00B12506" w:rsidRDefault="00A65EF1" w:rsidP="00B822C7">
            <w:pPr>
              <w:pStyle w:val="NoSpacing"/>
              <w:rPr>
                <w:sz w:val="20"/>
                <w:szCs w:val="20"/>
              </w:rPr>
            </w:pPr>
            <w:r>
              <w:rPr>
                <w:sz w:val="20"/>
                <w:szCs w:val="20"/>
              </w:rPr>
              <w:t xml:space="preserve">Lectures and reading focus </w:t>
            </w:r>
            <w:r w:rsidR="00707394">
              <w:rPr>
                <w:sz w:val="20"/>
                <w:szCs w:val="20"/>
              </w:rPr>
              <w:t xml:space="preserve">on understanding our theology better and the world better so that we might grow in </w:t>
            </w:r>
            <w:r w:rsidR="00707394">
              <w:rPr>
                <w:sz w:val="20"/>
                <w:szCs w:val="20"/>
              </w:rPr>
              <w:lastRenderedPageBreak/>
              <w:t>confidence and patience.</w:t>
            </w:r>
            <w:r>
              <w:rPr>
                <w:sz w:val="20"/>
                <w:szCs w:val="20"/>
              </w:rPr>
              <w:t xml:space="preserve"> </w:t>
            </w:r>
          </w:p>
        </w:tc>
      </w:tr>
      <w:tr w:rsidR="00A65EF1" w:rsidRPr="009B22DE" w14:paraId="6BE1C512" w14:textId="77777777" w:rsidTr="00B822C7">
        <w:tc>
          <w:tcPr>
            <w:tcW w:w="1458" w:type="dxa"/>
            <w:tcBorders>
              <w:right w:val="single" w:sz="4" w:space="0" w:color="auto"/>
            </w:tcBorders>
          </w:tcPr>
          <w:p w14:paraId="07272428" w14:textId="77777777" w:rsidR="00A65EF1" w:rsidRPr="00373E24" w:rsidRDefault="00A65EF1" w:rsidP="00B822C7">
            <w:pPr>
              <w:pStyle w:val="NoSpacing"/>
              <w:rPr>
                <w:b/>
                <w:sz w:val="20"/>
                <w:szCs w:val="20"/>
              </w:rPr>
            </w:pPr>
            <w:r w:rsidRPr="00373E24">
              <w:rPr>
                <w:b/>
                <w:sz w:val="20"/>
                <w:szCs w:val="20"/>
              </w:rPr>
              <w:lastRenderedPageBreak/>
              <w:t>Worldview</w:t>
            </w:r>
            <w:r>
              <w:rPr>
                <w:b/>
                <w:sz w:val="20"/>
                <w:szCs w:val="20"/>
              </w:rPr>
              <w:t xml:space="preserve"> </w:t>
            </w:r>
          </w:p>
          <w:p w14:paraId="03A2D42C" w14:textId="77777777" w:rsidR="00A65EF1" w:rsidRPr="00373E24" w:rsidRDefault="00A65EF1" w:rsidP="00B822C7">
            <w:pPr>
              <w:pStyle w:val="NoSpacing"/>
              <w:rPr>
                <w:b/>
                <w:sz w:val="20"/>
                <w:szCs w:val="20"/>
              </w:rPr>
            </w:pPr>
          </w:p>
        </w:tc>
        <w:tc>
          <w:tcPr>
            <w:tcW w:w="3780" w:type="dxa"/>
            <w:tcBorders>
              <w:left w:val="single" w:sz="4" w:space="0" w:color="auto"/>
              <w:right w:val="single" w:sz="4" w:space="0" w:color="auto"/>
            </w:tcBorders>
          </w:tcPr>
          <w:p w14:paraId="18B253F5" w14:textId="77777777" w:rsidR="00A65EF1" w:rsidRPr="00373E24" w:rsidRDefault="00A65EF1" w:rsidP="00B822C7">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0C4BABC8" w14:textId="77777777" w:rsidR="00A65EF1" w:rsidRPr="009B22DE" w:rsidRDefault="00A65EF1" w:rsidP="00B822C7">
            <w:pPr>
              <w:pStyle w:val="NoSpacing"/>
            </w:pPr>
            <w:r>
              <w:t>Strong</w:t>
            </w:r>
          </w:p>
        </w:tc>
        <w:tc>
          <w:tcPr>
            <w:tcW w:w="2250" w:type="dxa"/>
            <w:tcBorders>
              <w:left w:val="single" w:sz="4" w:space="0" w:color="auto"/>
            </w:tcBorders>
          </w:tcPr>
          <w:p w14:paraId="4E09DFF6" w14:textId="455D52C6" w:rsidR="00A65EF1" w:rsidRPr="00FB3E7E" w:rsidRDefault="00A65EF1" w:rsidP="00B822C7">
            <w:pPr>
              <w:pStyle w:val="NoSpacing"/>
              <w:rPr>
                <w:color w:val="000000" w:themeColor="text1"/>
                <w:sz w:val="20"/>
                <w:szCs w:val="20"/>
              </w:rPr>
            </w:pPr>
            <w:r>
              <w:rPr>
                <w:color w:val="000000" w:themeColor="text1"/>
                <w:sz w:val="20"/>
                <w:szCs w:val="20"/>
              </w:rPr>
              <w:t xml:space="preserve">This is a specific focus of this course. </w:t>
            </w:r>
          </w:p>
        </w:tc>
      </w:tr>
      <w:tr w:rsidR="00A65EF1" w:rsidRPr="009B22DE" w14:paraId="5313F530" w14:textId="77777777" w:rsidTr="00B822C7">
        <w:tc>
          <w:tcPr>
            <w:tcW w:w="1458" w:type="dxa"/>
            <w:tcBorders>
              <w:right w:val="single" w:sz="4" w:space="0" w:color="auto"/>
            </w:tcBorders>
          </w:tcPr>
          <w:p w14:paraId="4F52222C" w14:textId="77777777" w:rsidR="00A65EF1" w:rsidRPr="00373E24" w:rsidRDefault="00A65EF1" w:rsidP="00B822C7">
            <w:pPr>
              <w:pStyle w:val="NoSpacing"/>
              <w:rPr>
                <w:b/>
                <w:sz w:val="20"/>
                <w:szCs w:val="20"/>
              </w:rPr>
            </w:pPr>
            <w:r w:rsidRPr="00373E24">
              <w:rPr>
                <w:b/>
                <w:sz w:val="20"/>
                <w:szCs w:val="20"/>
              </w:rPr>
              <w:t>Winsomely Reformed</w:t>
            </w:r>
          </w:p>
          <w:p w14:paraId="1CF5DBB6" w14:textId="77777777" w:rsidR="00A65EF1" w:rsidRPr="00373E24" w:rsidRDefault="00A65EF1" w:rsidP="00B822C7">
            <w:pPr>
              <w:pStyle w:val="NoSpacing"/>
              <w:rPr>
                <w:b/>
                <w:sz w:val="20"/>
                <w:szCs w:val="20"/>
              </w:rPr>
            </w:pPr>
          </w:p>
        </w:tc>
        <w:tc>
          <w:tcPr>
            <w:tcW w:w="3780" w:type="dxa"/>
            <w:tcBorders>
              <w:left w:val="single" w:sz="4" w:space="0" w:color="auto"/>
              <w:right w:val="single" w:sz="4" w:space="0" w:color="auto"/>
            </w:tcBorders>
          </w:tcPr>
          <w:p w14:paraId="1EFA93E9" w14:textId="77777777" w:rsidR="00A65EF1" w:rsidRPr="00373E24" w:rsidRDefault="00A65EF1" w:rsidP="00B822C7">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0E090D5E" w14:textId="227D2192" w:rsidR="00A65EF1" w:rsidRPr="009B22DE" w:rsidRDefault="004115B1" w:rsidP="00B822C7">
            <w:pPr>
              <w:pStyle w:val="NoSpacing"/>
            </w:pPr>
            <w:r>
              <w:t>Moderate</w:t>
            </w:r>
          </w:p>
        </w:tc>
        <w:tc>
          <w:tcPr>
            <w:tcW w:w="2250" w:type="dxa"/>
            <w:tcBorders>
              <w:left w:val="single" w:sz="4" w:space="0" w:color="auto"/>
            </w:tcBorders>
          </w:tcPr>
          <w:p w14:paraId="0C5279B6" w14:textId="2D9F1D01" w:rsidR="00A65EF1" w:rsidRPr="00FB3E7E" w:rsidRDefault="00A65EF1" w:rsidP="00B822C7">
            <w:pPr>
              <w:pStyle w:val="NoSpacing"/>
              <w:rPr>
                <w:color w:val="000000" w:themeColor="text1"/>
                <w:sz w:val="20"/>
                <w:szCs w:val="20"/>
              </w:rPr>
            </w:pPr>
            <w:r>
              <w:rPr>
                <w:color w:val="000000" w:themeColor="text1"/>
                <w:sz w:val="20"/>
                <w:szCs w:val="20"/>
              </w:rPr>
              <w:t xml:space="preserve">The course will focus on engaging with and understanding </w:t>
            </w:r>
            <w:r w:rsidR="00707394">
              <w:rPr>
                <w:color w:val="000000" w:themeColor="text1"/>
                <w:sz w:val="20"/>
                <w:szCs w:val="20"/>
              </w:rPr>
              <w:t>alternatives</w:t>
            </w:r>
            <w:r>
              <w:rPr>
                <w:color w:val="000000" w:themeColor="text1"/>
                <w:sz w:val="20"/>
                <w:szCs w:val="20"/>
              </w:rPr>
              <w:t xml:space="preserve"> to the Christian faith for the sake of persuasion.</w:t>
            </w:r>
          </w:p>
        </w:tc>
      </w:tr>
      <w:tr w:rsidR="00A65EF1" w:rsidRPr="009B22DE" w14:paraId="107E7791" w14:textId="77777777" w:rsidTr="00B822C7">
        <w:tc>
          <w:tcPr>
            <w:tcW w:w="1458" w:type="dxa"/>
            <w:tcBorders>
              <w:right w:val="single" w:sz="4" w:space="0" w:color="auto"/>
            </w:tcBorders>
          </w:tcPr>
          <w:p w14:paraId="3FB20383" w14:textId="77777777" w:rsidR="00A65EF1" w:rsidRPr="00974AC8" w:rsidRDefault="00A65EF1" w:rsidP="00B822C7">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2B3D8099" w14:textId="77777777" w:rsidR="00A65EF1" w:rsidRPr="00974AC8" w:rsidRDefault="00A65EF1" w:rsidP="00B822C7">
            <w:pPr>
              <w:pStyle w:val="NoSpacing"/>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717B3669" w14:textId="5DED736E" w:rsidR="00A65EF1" w:rsidRPr="009B22DE" w:rsidRDefault="00A65EF1" w:rsidP="00B822C7">
            <w:pPr>
              <w:pStyle w:val="NoSpacing"/>
            </w:pPr>
            <w:r>
              <w:t>Moderate</w:t>
            </w:r>
          </w:p>
        </w:tc>
        <w:tc>
          <w:tcPr>
            <w:tcW w:w="2250" w:type="dxa"/>
            <w:tcBorders>
              <w:left w:val="single" w:sz="4" w:space="0" w:color="auto"/>
            </w:tcBorders>
          </w:tcPr>
          <w:p w14:paraId="1EE34944" w14:textId="18DB709A" w:rsidR="00A65EF1" w:rsidRPr="00FB3E7E" w:rsidRDefault="00A65EF1" w:rsidP="00B822C7">
            <w:pPr>
              <w:pStyle w:val="NoSpacing"/>
              <w:rPr>
                <w:color w:val="000000" w:themeColor="text1"/>
                <w:sz w:val="20"/>
                <w:szCs w:val="20"/>
              </w:rPr>
            </w:pPr>
            <w:r>
              <w:rPr>
                <w:color w:val="000000" w:themeColor="text1"/>
                <w:sz w:val="20"/>
                <w:szCs w:val="20"/>
              </w:rPr>
              <w:t xml:space="preserve">Ministers should be able to aid their congregants through some of the intellectual and existential challenges against the Christian faith. </w:t>
            </w:r>
          </w:p>
        </w:tc>
      </w:tr>
    </w:tbl>
    <w:p w14:paraId="5EBDC28D" w14:textId="77777777" w:rsidR="00A65EF1" w:rsidRDefault="00A65EF1" w:rsidP="00A65EF1">
      <w:pPr>
        <w:pStyle w:val="NoSpacing"/>
      </w:pPr>
    </w:p>
    <w:p w14:paraId="30DD8300" w14:textId="77777777" w:rsidR="00A65EF1" w:rsidRPr="00B12506" w:rsidRDefault="00A65EF1" w:rsidP="00A65EF1">
      <w:pPr>
        <w:pStyle w:val="NoSpacing"/>
        <w:rPr>
          <w:color w:val="FF0000"/>
        </w:rPr>
      </w:pPr>
    </w:p>
    <w:p w14:paraId="3CF7606E" w14:textId="77777777" w:rsidR="00A65EF1" w:rsidRPr="00EA7117" w:rsidRDefault="00A65EF1" w:rsidP="00A65EF1">
      <w:pPr>
        <w:spacing w:line="360" w:lineRule="auto"/>
        <w:rPr>
          <w:rFonts w:ascii="Garamond" w:hAnsi="Garamond"/>
          <w:lang w:val="en-US"/>
        </w:rPr>
      </w:pPr>
    </w:p>
    <w:p w14:paraId="0A41B167" w14:textId="77777777" w:rsidR="00A65EF1" w:rsidRPr="00A65EF1" w:rsidRDefault="00A65EF1" w:rsidP="00A65EF1">
      <w:pPr>
        <w:jc w:val="both"/>
        <w:rPr>
          <w:rFonts w:ascii="Garamond" w:hAnsi="Garamond"/>
          <w:lang w:val="en-US"/>
        </w:rPr>
      </w:pPr>
    </w:p>
    <w:p w14:paraId="664CEE90" w14:textId="77777777" w:rsidR="00A65EF1" w:rsidRPr="00A65EF1" w:rsidRDefault="00A65EF1" w:rsidP="00A65EF1">
      <w:pPr>
        <w:jc w:val="both"/>
        <w:rPr>
          <w:rFonts w:ascii="Garamond" w:hAnsi="Garamond"/>
          <w:lang w:val="en-US"/>
        </w:rPr>
      </w:pPr>
    </w:p>
    <w:sectPr w:rsidR="00A65EF1" w:rsidRPr="00A65EF1" w:rsidSect="00DE73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55727" w14:textId="77777777" w:rsidR="006F0CD9" w:rsidRDefault="006F0CD9" w:rsidP="00A65EF1">
      <w:r>
        <w:separator/>
      </w:r>
    </w:p>
  </w:endnote>
  <w:endnote w:type="continuationSeparator" w:id="0">
    <w:p w14:paraId="03698ED1" w14:textId="77777777" w:rsidR="006F0CD9" w:rsidRDefault="006F0CD9" w:rsidP="00A6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88F7E" w14:textId="77777777" w:rsidR="006F0CD9" w:rsidRDefault="006F0CD9" w:rsidP="00A65EF1">
      <w:r>
        <w:separator/>
      </w:r>
    </w:p>
  </w:footnote>
  <w:footnote w:type="continuationSeparator" w:id="0">
    <w:p w14:paraId="71B4C6A1" w14:textId="77777777" w:rsidR="006F0CD9" w:rsidRDefault="006F0CD9" w:rsidP="00A65EF1">
      <w:r>
        <w:continuationSeparator/>
      </w:r>
    </w:p>
  </w:footnote>
  <w:footnote w:id="1">
    <w:p w14:paraId="0D102DC4"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“For this reason, it will suffice for the rejection of all of these opinions, if I find in each of them some reason for doubt.” </w:t>
      </w:r>
      <w:proofErr w:type="spellStart"/>
      <w:r w:rsidRPr="0073574A">
        <w:rPr>
          <w:rFonts w:ascii="Garamond" w:hAnsi="Garamond"/>
        </w:rPr>
        <w:t>Pg</w:t>
      </w:r>
      <w:proofErr w:type="spellEnd"/>
      <w:r w:rsidRPr="0073574A">
        <w:rPr>
          <w:rFonts w:ascii="Garamond" w:hAnsi="Garamond"/>
        </w:rPr>
        <w:t xml:space="preserve"> 41</w:t>
      </w:r>
    </w:p>
  </w:footnote>
  <w:footnote w:id="2">
    <w:p w14:paraId="40B86D2D"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“Several years have now passed since I first realized how numerous were the false opinions that in my youth I had taken to be true, and thus how doubtful were all those that I had subsequently built upon them. And thus I realized that once in my life I had to raze everything to the ground and begin again from the original foundations, if I wanted to establish anything form and lasting in the sciences.” </w:t>
      </w:r>
      <w:proofErr w:type="spellStart"/>
      <w:r w:rsidRPr="0073574A">
        <w:rPr>
          <w:rFonts w:ascii="Garamond" w:hAnsi="Garamond"/>
        </w:rPr>
        <w:t>Pg</w:t>
      </w:r>
      <w:proofErr w:type="spellEnd"/>
      <w:r w:rsidRPr="0073574A">
        <w:rPr>
          <w:rFonts w:ascii="Garamond" w:hAnsi="Garamond"/>
        </w:rPr>
        <w:t xml:space="preserve"> 40</w:t>
      </w:r>
    </w:p>
  </w:footnote>
  <w:footnote w:id="3">
    <w:p w14:paraId="7E41414B"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“However, I have noticed that the senses are sometimes deceptive; and it is a mark of prudence never to place our complete trust in those who have deceived us even once.” </w:t>
      </w:r>
      <w:proofErr w:type="spellStart"/>
      <w:r w:rsidRPr="0073574A">
        <w:rPr>
          <w:rFonts w:ascii="Garamond" w:hAnsi="Garamond"/>
        </w:rPr>
        <w:t>Pg</w:t>
      </w:r>
      <w:proofErr w:type="spellEnd"/>
      <w:r w:rsidRPr="0073574A">
        <w:rPr>
          <w:rFonts w:ascii="Garamond" w:hAnsi="Garamond"/>
        </w:rPr>
        <w:t xml:space="preserve"> 41</w:t>
      </w:r>
    </w:p>
  </w:footnote>
  <w:footnote w:id="4">
    <w:p w14:paraId="2872D44E"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“But perhaps, even though the senses do sometimes deceive us when it is a question of very small and distant things, still there are many other matters concerning which one simply cannot doubt, even though they are derived from the very same senses…” </w:t>
      </w:r>
      <w:proofErr w:type="spellStart"/>
      <w:r w:rsidRPr="0073574A">
        <w:rPr>
          <w:rFonts w:ascii="Garamond" w:hAnsi="Garamond"/>
        </w:rPr>
        <w:t>Pg</w:t>
      </w:r>
      <w:proofErr w:type="spellEnd"/>
      <w:r w:rsidRPr="0073574A">
        <w:rPr>
          <w:rFonts w:ascii="Garamond" w:hAnsi="Garamond"/>
        </w:rPr>
        <w:t xml:space="preserve"> 41</w:t>
      </w:r>
    </w:p>
  </w:footnote>
  <w:footnote w:id="5">
    <w:p w14:paraId="58478A21"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“How often does my evening slumber persuade me of such ordinary things as these: that I am here, clothed in my dressing gown, seated next to the fireplace – when in fact I am lying undressed in bed!” </w:t>
      </w:r>
      <w:proofErr w:type="spellStart"/>
      <w:r w:rsidRPr="0073574A">
        <w:rPr>
          <w:rFonts w:ascii="Garamond" w:hAnsi="Garamond"/>
        </w:rPr>
        <w:t>Pg</w:t>
      </w:r>
      <w:proofErr w:type="spellEnd"/>
      <w:r w:rsidRPr="0073574A">
        <w:rPr>
          <w:rFonts w:ascii="Garamond" w:hAnsi="Garamond"/>
        </w:rPr>
        <w:t xml:space="preserve"> 41</w:t>
      </w:r>
    </w:p>
  </w:footnote>
  <w:footnote w:id="6">
    <w:p w14:paraId="4B8AED01"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“As I consider these matters more carefully, I see so plainly that there are no definitive signs by which to distinguish being awake from being asleep.” </w:t>
      </w:r>
      <w:proofErr w:type="spellStart"/>
      <w:r w:rsidRPr="0073574A">
        <w:rPr>
          <w:rFonts w:ascii="Garamond" w:hAnsi="Garamond"/>
        </w:rPr>
        <w:t>Pg</w:t>
      </w:r>
      <w:proofErr w:type="spellEnd"/>
      <w:r w:rsidRPr="0073574A">
        <w:rPr>
          <w:rFonts w:ascii="Garamond" w:hAnsi="Garamond"/>
        </w:rPr>
        <w:t xml:space="preserve"> 41</w:t>
      </w:r>
    </w:p>
  </w:footnote>
  <w:footnote w:id="7">
    <w:p w14:paraId="2BB3111D"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“For whether I am awake or asleep, two plus three make five, and a square does not have more than four sides. It does not seem possible that such obvious truths should be subject to the suspicion of being false.” </w:t>
      </w:r>
      <w:proofErr w:type="spellStart"/>
      <w:r w:rsidRPr="0073574A">
        <w:rPr>
          <w:rFonts w:ascii="Garamond" w:hAnsi="Garamond"/>
        </w:rPr>
        <w:t>Pg</w:t>
      </w:r>
      <w:proofErr w:type="spellEnd"/>
      <w:r w:rsidRPr="0073574A">
        <w:rPr>
          <w:rFonts w:ascii="Garamond" w:hAnsi="Garamond"/>
        </w:rPr>
        <w:t xml:space="preserve"> 42 </w:t>
      </w:r>
    </w:p>
  </w:footnote>
  <w:footnote w:id="8">
    <w:p w14:paraId="0FA43F88"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“Accordingly, I will suppose not a supremely good God, the source of truth, but rather an evil genius, supremely powerful and clever, who has directed his entire effort at deceiving me. I will regard the heavens, the air, the earth, </w:t>
      </w:r>
      <w:proofErr w:type="spellStart"/>
      <w:r w:rsidRPr="0073574A">
        <w:rPr>
          <w:rFonts w:ascii="Garamond" w:hAnsi="Garamond"/>
        </w:rPr>
        <w:t>colors</w:t>
      </w:r>
      <w:proofErr w:type="spellEnd"/>
      <w:r w:rsidRPr="0073574A">
        <w:rPr>
          <w:rFonts w:ascii="Garamond" w:hAnsi="Garamond"/>
        </w:rPr>
        <w:t xml:space="preserve">, shape, sounds and all external things as nothing but the </w:t>
      </w:r>
      <w:proofErr w:type="spellStart"/>
      <w:r w:rsidRPr="0073574A">
        <w:rPr>
          <w:rFonts w:ascii="Garamond" w:hAnsi="Garamond"/>
        </w:rPr>
        <w:t>bedeviling</w:t>
      </w:r>
      <w:proofErr w:type="spellEnd"/>
      <w:r w:rsidRPr="0073574A">
        <w:rPr>
          <w:rFonts w:ascii="Garamond" w:hAnsi="Garamond"/>
        </w:rPr>
        <w:t xml:space="preserve"> hoaxes of my dreams, with which he lays snares for my credulity. I will regard myself as not having hands, or eyes, or flesh, or blood, or any senses, but as nevertheless falsely believing that I possess all these things.” </w:t>
      </w:r>
      <w:proofErr w:type="spellStart"/>
      <w:r w:rsidRPr="0073574A">
        <w:rPr>
          <w:rFonts w:ascii="Garamond" w:hAnsi="Garamond"/>
        </w:rPr>
        <w:t>Pg</w:t>
      </w:r>
      <w:proofErr w:type="spellEnd"/>
      <w:r w:rsidRPr="0073574A">
        <w:rPr>
          <w:rFonts w:ascii="Garamond" w:hAnsi="Garamond"/>
        </w:rPr>
        <w:t xml:space="preserve"> 42-43</w:t>
      </w:r>
    </w:p>
  </w:footnote>
  <w:footnote w:id="9">
    <w:p w14:paraId="2B260E83"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“There too there is no doubt that I exist, if he is deceiving me. And let him do his best at deception; he will never bring it about that I am nothing so long as I shall think that I am something. Thus, after everything has been most carefully weighed, it must finally be established that this pronouncement “I am, I exist” is necessarily true every time I utter it or conceive it in my mind.” </w:t>
      </w:r>
      <w:proofErr w:type="spellStart"/>
      <w:r w:rsidRPr="0073574A">
        <w:rPr>
          <w:rFonts w:ascii="Garamond" w:hAnsi="Garamond"/>
        </w:rPr>
        <w:t>Pg</w:t>
      </w:r>
      <w:proofErr w:type="spellEnd"/>
      <w:r w:rsidRPr="0073574A">
        <w:rPr>
          <w:rFonts w:ascii="Garamond" w:hAnsi="Garamond"/>
        </w:rPr>
        <w:t xml:space="preserve"> 43</w:t>
      </w:r>
    </w:p>
  </w:footnote>
  <w:footnote w:id="10">
    <w:p w14:paraId="6E0783B7"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“What about thinking? Here I make my discovery. Thoughts exist; it alone cannot be separated from me. I am; I exist – this is certain. But for how long? For as long as I am thinking…” </w:t>
      </w:r>
      <w:proofErr w:type="spellStart"/>
      <w:r w:rsidRPr="0073574A">
        <w:rPr>
          <w:rFonts w:ascii="Garamond" w:hAnsi="Garamond"/>
        </w:rPr>
        <w:t>Pg</w:t>
      </w:r>
      <w:proofErr w:type="spellEnd"/>
      <w:r w:rsidRPr="0073574A">
        <w:rPr>
          <w:rFonts w:ascii="Garamond" w:hAnsi="Garamond"/>
        </w:rPr>
        <w:t xml:space="preserve"> 44</w:t>
      </w:r>
    </w:p>
  </w:footnote>
  <w:footnote w:id="11">
    <w:p w14:paraId="3154F24D"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“Properly speaking, this is what in me is called “sensing.” But this, precisely so taken, is nothing other than thinking.” </w:t>
      </w:r>
      <w:proofErr w:type="spellStart"/>
      <w:r w:rsidRPr="0073574A">
        <w:rPr>
          <w:rFonts w:ascii="Garamond" w:hAnsi="Garamond"/>
        </w:rPr>
        <w:t>Pg</w:t>
      </w:r>
      <w:proofErr w:type="spellEnd"/>
      <w:r w:rsidRPr="0073574A">
        <w:rPr>
          <w:rFonts w:ascii="Garamond" w:hAnsi="Garamond"/>
        </w:rPr>
        <w:t xml:space="preserve"> 45</w:t>
      </w:r>
    </w:p>
  </w:footnote>
  <w:footnote w:id="12">
    <w:p w14:paraId="22E04054"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“But I need to realize that the perception of the wax is neither a seeing, nor a teaching, nor an imagining. Nor has it ever been, even though it previously seemed so; rather it is an inspection on the part of the mind alone.” </w:t>
      </w:r>
      <w:proofErr w:type="spellStart"/>
      <w:r w:rsidRPr="0073574A">
        <w:rPr>
          <w:rFonts w:ascii="Garamond" w:hAnsi="Garamond"/>
        </w:rPr>
        <w:t>Pg</w:t>
      </w:r>
      <w:proofErr w:type="spellEnd"/>
      <w:r w:rsidRPr="0073574A">
        <w:rPr>
          <w:rFonts w:ascii="Garamond" w:hAnsi="Garamond"/>
        </w:rPr>
        <w:t xml:space="preserve"> 46</w:t>
      </w:r>
    </w:p>
  </w:footnote>
  <w:footnote w:id="13">
    <w:p w14:paraId="10108D84"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“Thus what I thought I had seen with my eyes, I actually grasped solely with the faculty of judgment, which is in my mind.” </w:t>
      </w:r>
      <w:proofErr w:type="spellStart"/>
      <w:r w:rsidRPr="0073574A">
        <w:rPr>
          <w:rFonts w:ascii="Garamond" w:hAnsi="Garamond"/>
        </w:rPr>
        <w:t>Pg</w:t>
      </w:r>
      <w:proofErr w:type="spellEnd"/>
      <w:r w:rsidRPr="0073574A">
        <w:rPr>
          <w:rFonts w:ascii="Garamond" w:hAnsi="Garamond"/>
        </w:rPr>
        <w:t xml:space="preserve"> 46</w:t>
      </w:r>
    </w:p>
  </w:footnote>
  <w:footnote w:id="14">
    <w:p w14:paraId="6611C0DD"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“For if I judge that the wax exists from the fact that I see it, certainly from this same fact that I see the wax it follows much more evidently that I myself exist. For it could happen that what I see is not truly wax. It could happen that I have no eyes with which to see anything. But it is utterly impossible that, while I see or think I see (I do not now distinguish between these two), I who think am not something.” </w:t>
      </w:r>
      <w:proofErr w:type="spellStart"/>
      <w:r w:rsidRPr="0073574A">
        <w:rPr>
          <w:rFonts w:ascii="Garamond" w:hAnsi="Garamond"/>
        </w:rPr>
        <w:t>Pg</w:t>
      </w:r>
      <w:proofErr w:type="spellEnd"/>
      <w:r w:rsidRPr="0073574A">
        <w:rPr>
          <w:rFonts w:ascii="Garamond" w:hAnsi="Garamond"/>
        </w:rPr>
        <w:t xml:space="preserve"> 47</w:t>
      </w:r>
    </w:p>
  </w:footnote>
  <w:footnote w:id="15">
    <w:p w14:paraId="5220DC2A"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“For since I now know that even bodies are not, properly speaking, perceived by the senses or by the faculty of imagination, but by the intellect alone, and that they are not perceived through their being touched or seen, but only through their being understood, I manifestly know that nothing can be perceived more easily and more evidently than my own mind.” </w:t>
      </w:r>
      <w:proofErr w:type="spellStart"/>
      <w:r w:rsidRPr="0073574A">
        <w:rPr>
          <w:rFonts w:ascii="Garamond" w:hAnsi="Garamond"/>
        </w:rPr>
        <w:t>Pg</w:t>
      </w:r>
      <w:proofErr w:type="spellEnd"/>
      <w:r w:rsidRPr="0073574A">
        <w:rPr>
          <w:rFonts w:ascii="Garamond" w:hAnsi="Garamond"/>
        </w:rPr>
        <w:t xml:space="preserve"> 47</w:t>
      </w:r>
    </w:p>
  </w:footnote>
  <w:footnote w:id="16">
    <w:p w14:paraId="51AB1717"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“Surely in this first instance of knowledge, there is nothing but a certain clear and distinct perception of what I affirm. Yet this would hardly be enough to render me certain of the truth of a thing, if it could ever happen that something that I perceived so clearly and distinctly were false. And thus I now seem able to posit as a general rule that everything I very clearly and distinctly perceive is true.” </w:t>
      </w:r>
      <w:proofErr w:type="spellStart"/>
      <w:r w:rsidRPr="0073574A">
        <w:rPr>
          <w:rFonts w:ascii="Garamond" w:hAnsi="Garamond"/>
        </w:rPr>
        <w:t>Pg</w:t>
      </w:r>
      <w:proofErr w:type="spellEnd"/>
      <w:r w:rsidRPr="0073574A">
        <w:rPr>
          <w:rFonts w:ascii="Garamond" w:hAnsi="Garamond"/>
        </w:rPr>
        <w:t xml:space="preserve"> 47</w:t>
      </w:r>
    </w:p>
  </w:footnote>
  <w:footnote w:id="17">
    <w:p w14:paraId="2BA1B369"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“But in order to remove even this basis for doubt, I should at the first opportunity inquire whether there is a God, and, if there is, whether or not he can be a deceiver. For if I am ignorant of this, it appears I am never capable of being completely certain about anything else.” </w:t>
      </w:r>
      <w:proofErr w:type="spellStart"/>
      <w:r w:rsidRPr="0073574A">
        <w:rPr>
          <w:rFonts w:ascii="Garamond" w:hAnsi="Garamond"/>
        </w:rPr>
        <w:t>Pg</w:t>
      </w:r>
      <w:proofErr w:type="spellEnd"/>
      <w:r w:rsidRPr="0073574A">
        <w:rPr>
          <w:rFonts w:ascii="Garamond" w:hAnsi="Garamond"/>
        </w:rPr>
        <w:t xml:space="preserve"> 48</w:t>
      </w:r>
    </w:p>
  </w:footnote>
  <w:footnote w:id="18">
    <w:p w14:paraId="756C85C1"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w:t>
      </w:r>
      <w:r>
        <w:rPr>
          <w:rFonts w:ascii="Garamond" w:hAnsi="Garamond"/>
        </w:rPr>
        <w:t>“</w:t>
      </w:r>
      <w:r w:rsidRPr="0073574A">
        <w:rPr>
          <w:rFonts w:ascii="Garamond" w:hAnsi="Garamond"/>
        </w:rPr>
        <w:t>Some of these thoughts are like images of things</w:t>
      </w:r>
      <w:r>
        <w:rPr>
          <w:rFonts w:ascii="Garamond" w:hAnsi="Garamond"/>
        </w:rPr>
        <w:t>; to these alone does the word ‘idea’</w:t>
      </w:r>
      <w:r w:rsidRPr="0073574A">
        <w:rPr>
          <w:rFonts w:ascii="Garamond" w:hAnsi="Garamond"/>
        </w:rPr>
        <w:t xml:space="preserve"> properly apply, as when I think of a man, or a chimera, or the sky, or an angel, or God. Again there are other thoughts that take different forms, for example, when I will, or fear, or affirm, or deny, there is always </w:t>
      </w:r>
      <w:proofErr w:type="spellStart"/>
      <w:r w:rsidRPr="0073574A">
        <w:rPr>
          <w:rFonts w:ascii="Garamond" w:hAnsi="Garamond"/>
        </w:rPr>
        <w:t>some thing</w:t>
      </w:r>
      <w:proofErr w:type="spellEnd"/>
      <w:r w:rsidRPr="0073574A">
        <w:rPr>
          <w:rFonts w:ascii="Garamond" w:hAnsi="Garamond"/>
        </w:rPr>
        <w:t xml:space="preserve"> that I grasp as the subject of my thought, yet I embrace in my thought some more than the likeness of that thing.” </w:t>
      </w:r>
      <w:proofErr w:type="spellStart"/>
      <w:r w:rsidRPr="0073574A">
        <w:rPr>
          <w:rFonts w:ascii="Garamond" w:hAnsi="Garamond"/>
        </w:rPr>
        <w:t>Pg</w:t>
      </w:r>
      <w:proofErr w:type="spellEnd"/>
      <w:r w:rsidRPr="0073574A">
        <w:rPr>
          <w:rFonts w:ascii="Garamond" w:hAnsi="Garamond"/>
        </w:rPr>
        <w:t xml:space="preserve"> 48</w:t>
      </w:r>
    </w:p>
  </w:footnote>
  <w:footnote w:id="19">
    <w:p w14:paraId="5F54294F"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“Now the principal and most frequent error to be found in judgments consists in the fact that I judge that the ideas which are in me are similar to or in conformity with certain things outside me.” </w:t>
      </w:r>
      <w:proofErr w:type="spellStart"/>
      <w:r w:rsidRPr="0073574A">
        <w:rPr>
          <w:rFonts w:ascii="Garamond" w:hAnsi="Garamond"/>
        </w:rPr>
        <w:t>Pg</w:t>
      </w:r>
      <w:proofErr w:type="spellEnd"/>
      <w:r w:rsidRPr="0073574A">
        <w:rPr>
          <w:rFonts w:ascii="Garamond" w:hAnsi="Garamond"/>
        </w:rPr>
        <w:t xml:space="preserve"> 48</w:t>
      </w:r>
    </w:p>
  </w:footnote>
  <w:footnote w:id="20">
    <w:p w14:paraId="3AC1A0A1"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“Hence it follows that something cannot come into being out of nothing, and also that what is more perfect (that is, what contains in itself more reality) cannot come into being from what is less perfect. But this is manifestly true not merely for those effects whose reality is actual or form, but also for ideas in which only objective reality is considered.” </w:t>
      </w:r>
      <w:proofErr w:type="spellStart"/>
      <w:r w:rsidRPr="0073574A">
        <w:rPr>
          <w:rFonts w:ascii="Garamond" w:hAnsi="Garamond"/>
        </w:rPr>
        <w:t>Pg</w:t>
      </w:r>
      <w:proofErr w:type="spellEnd"/>
      <w:r w:rsidRPr="0073574A">
        <w:rPr>
          <w:rFonts w:ascii="Garamond" w:hAnsi="Garamond"/>
        </w:rPr>
        <w:t xml:space="preserve"> 49</w:t>
      </w:r>
    </w:p>
  </w:footnote>
  <w:footnote w:id="21">
    <w:p w14:paraId="313C0DAA"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“But that a particular idea contains this as opposed to that objective reality is surely owing to some cause in which there is at least as much formal reality as there is objective reality contained in the idea. For if we assume that something is found in the idea that was not its cause, then the idea gets that something from nothing. Yet as imperfect a mode of being as this is by which a thing exists in the intellect objective through an idea, nevertheless it is plainly not nothing; hence it cannot get its being from nothing.” </w:t>
      </w:r>
      <w:proofErr w:type="spellStart"/>
      <w:r w:rsidRPr="0073574A">
        <w:rPr>
          <w:rFonts w:ascii="Garamond" w:hAnsi="Garamond"/>
        </w:rPr>
        <w:t>Pg</w:t>
      </w:r>
      <w:proofErr w:type="spellEnd"/>
      <w:r w:rsidRPr="0073574A">
        <w:rPr>
          <w:rFonts w:ascii="Garamond" w:hAnsi="Garamond"/>
        </w:rPr>
        <w:t xml:space="preserve"> 50</w:t>
      </w:r>
    </w:p>
  </w:footnote>
  <w:footnote w:id="22">
    <w:p w14:paraId="67E5100B"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“Assuredly, I need not assign to these ideas an author distinct from myself.” </w:t>
      </w:r>
      <w:proofErr w:type="spellStart"/>
      <w:r w:rsidRPr="0073574A">
        <w:rPr>
          <w:rFonts w:ascii="Garamond" w:hAnsi="Garamond"/>
        </w:rPr>
        <w:t>Pg</w:t>
      </w:r>
      <w:proofErr w:type="spellEnd"/>
      <w:r w:rsidRPr="0073574A">
        <w:rPr>
          <w:rFonts w:ascii="Garamond" w:hAnsi="Garamond"/>
        </w:rPr>
        <w:t xml:space="preserve"> 51</w:t>
      </w:r>
    </w:p>
  </w:footnote>
  <w:footnote w:id="23">
    <w:p w14:paraId="59A5554E"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“Thus there remains only the idea of God. I must consider whether there is anything in this idea that could not have originated fro</w:t>
      </w:r>
      <w:r>
        <w:rPr>
          <w:rFonts w:ascii="Garamond" w:hAnsi="Garamond"/>
        </w:rPr>
        <w:t>m</w:t>
      </w:r>
      <w:r w:rsidRPr="0073574A">
        <w:rPr>
          <w:rFonts w:ascii="Garamond" w:hAnsi="Garamond"/>
        </w:rPr>
        <w:t xml:space="preserve"> me. I understand by the name “God” a certain substance that is infinite, independent, supremely intelligent, and supremely powerful, and that created me along with everything else that exists – if anything else exists. Indeed all these are such that, the more carefully I focus my attention on them, the less possible it seems they could have arisen from myself alone. Thus, from what has been said, I must conclude that God necessarily exists.” </w:t>
      </w:r>
      <w:proofErr w:type="spellStart"/>
      <w:r w:rsidRPr="0073574A">
        <w:rPr>
          <w:rFonts w:ascii="Garamond" w:hAnsi="Garamond"/>
        </w:rPr>
        <w:t>Pg</w:t>
      </w:r>
      <w:proofErr w:type="spellEnd"/>
      <w:r w:rsidRPr="0073574A">
        <w:rPr>
          <w:rFonts w:ascii="Garamond" w:hAnsi="Garamond"/>
        </w:rPr>
        <w:t xml:space="preserve"> 51</w:t>
      </w:r>
    </w:p>
  </w:footnote>
  <w:footnote w:id="24">
    <w:p w14:paraId="36C66CF9"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“From these considerations it is quite obvious that he cannot be a deceiver, for it is manifest by the light of nature that all fraud and deception depend on some defect.” </w:t>
      </w:r>
      <w:proofErr w:type="spellStart"/>
      <w:r w:rsidRPr="0073574A">
        <w:rPr>
          <w:rFonts w:ascii="Garamond" w:hAnsi="Garamond"/>
        </w:rPr>
        <w:t>Pg</w:t>
      </w:r>
      <w:proofErr w:type="spellEnd"/>
      <w:r w:rsidRPr="0073574A">
        <w:rPr>
          <w:rFonts w:ascii="Garamond" w:hAnsi="Garamond"/>
        </w:rPr>
        <w:t xml:space="preserve"> 54</w:t>
      </w:r>
    </w:p>
  </w:footnote>
  <w:footnote w:id="25">
    <w:p w14:paraId="754F6BEA"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“For if everything that is in me I got from God, and he gave me no faculty for making mistakes, it seems that I am incapable of ever erring.” </w:t>
      </w:r>
      <w:proofErr w:type="spellStart"/>
      <w:r w:rsidRPr="0073574A">
        <w:rPr>
          <w:rFonts w:ascii="Garamond" w:hAnsi="Garamond"/>
        </w:rPr>
        <w:t>Pg</w:t>
      </w:r>
      <w:proofErr w:type="spellEnd"/>
      <w:r w:rsidRPr="0073574A">
        <w:rPr>
          <w:rFonts w:ascii="Garamond" w:hAnsi="Garamond"/>
        </w:rPr>
        <w:t xml:space="preserve"> 54</w:t>
      </w:r>
    </w:p>
  </w:footnote>
  <w:footnote w:id="26">
    <w:p w14:paraId="02EBD996"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“Rather, it just so happens that I make mistakes because the faculty of judging truth, which I got from God, is not, in my case, infinite.” </w:t>
      </w:r>
      <w:proofErr w:type="spellStart"/>
      <w:r w:rsidRPr="0073574A">
        <w:rPr>
          <w:rFonts w:ascii="Garamond" w:hAnsi="Garamond"/>
        </w:rPr>
        <w:t>Pg</w:t>
      </w:r>
      <w:proofErr w:type="spellEnd"/>
      <w:r w:rsidRPr="0073574A">
        <w:rPr>
          <w:rFonts w:ascii="Garamond" w:hAnsi="Garamond"/>
        </w:rPr>
        <w:t xml:space="preserve"> 55</w:t>
      </w:r>
    </w:p>
  </w:footnote>
  <w:footnote w:id="27">
    <w:p w14:paraId="2D07006C"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“Because the will is indifferent in regard to such matters, it easily turns away from the true and the good; and in this way I am deceived and I sin.” </w:t>
      </w:r>
      <w:proofErr w:type="spellStart"/>
      <w:r w:rsidRPr="0073574A">
        <w:rPr>
          <w:rFonts w:ascii="Garamond" w:hAnsi="Garamond"/>
        </w:rPr>
        <w:t>Pg</w:t>
      </w:r>
      <w:proofErr w:type="spellEnd"/>
      <w:r w:rsidRPr="0073574A">
        <w:rPr>
          <w:rFonts w:ascii="Garamond" w:hAnsi="Garamond"/>
        </w:rPr>
        <w:t xml:space="preserve"> 56</w:t>
      </w:r>
    </w:p>
  </w:footnote>
  <w:footnote w:id="28">
    <w:p w14:paraId="00A7FA2B"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“…nevertheless I can avoid error in the other way, which depends solely on my remembering to abstain from making judgments whenever the truth of a given matter is not apparent.” </w:t>
      </w:r>
      <w:proofErr w:type="spellStart"/>
      <w:r w:rsidRPr="0073574A">
        <w:rPr>
          <w:rFonts w:ascii="Garamond" w:hAnsi="Garamond"/>
        </w:rPr>
        <w:t>Pg</w:t>
      </w:r>
      <w:proofErr w:type="spellEnd"/>
      <w:r w:rsidRPr="0073574A">
        <w:rPr>
          <w:rFonts w:ascii="Garamond" w:hAnsi="Garamond"/>
        </w:rPr>
        <w:t xml:space="preserve"> 58</w:t>
      </w:r>
    </w:p>
  </w:footnote>
  <w:footnote w:id="29">
    <w:p w14:paraId="47350050"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“For since I know now that my nature is very weak and limited, whereas the nature of God is immense, incomprehensible, and infinite, this is sufficient for me also to know that he can make innumerable things whose causes escape me.” </w:t>
      </w:r>
      <w:proofErr w:type="spellStart"/>
      <w:r w:rsidRPr="0073574A">
        <w:rPr>
          <w:rFonts w:ascii="Garamond" w:hAnsi="Garamond"/>
        </w:rPr>
        <w:t>Pg</w:t>
      </w:r>
      <w:proofErr w:type="spellEnd"/>
      <w:r w:rsidRPr="0073574A">
        <w:rPr>
          <w:rFonts w:ascii="Garamond" w:hAnsi="Garamond"/>
        </w:rPr>
        <w:t xml:space="preserve"> 55</w:t>
      </w:r>
    </w:p>
  </w:footnote>
  <w:footnote w:id="30">
    <w:p w14:paraId="5759DBD9"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“It is only the will or free choice that I experience to be so great in me that I cannot grasp the idea of any greater faculty. This is so much the case that the will is the chief basis for my understanding that I bear a certain image and likeness of God.” </w:t>
      </w:r>
      <w:proofErr w:type="spellStart"/>
      <w:r w:rsidRPr="0073574A">
        <w:rPr>
          <w:rFonts w:ascii="Garamond" w:hAnsi="Garamond"/>
        </w:rPr>
        <w:t>Pg</w:t>
      </w:r>
      <w:proofErr w:type="spellEnd"/>
      <w:r w:rsidRPr="0073574A">
        <w:rPr>
          <w:rFonts w:ascii="Garamond" w:hAnsi="Garamond"/>
        </w:rPr>
        <w:t xml:space="preserve"> 56</w:t>
      </w:r>
    </w:p>
  </w:footnote>
  <w:footnote w:id="31">
    <w:p w14:paraId="2D53F085"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“For example, when I imagine a triangle, even if perhaps no such figure exists outside my thought anywhere in the world and never has, the triangle still has a determinate nature, essence, or form which is unchangeable and eternal, which I did not fabricate, and which does not depend on my mind.” </w:t>
      </w:r>
      <w:proofErr w:type="spellStart"/>
      <w:r w:rsidRPr="0073574A">
        <w:rPr>
          <w:rFonts w:ascii="Garamond" w:hAnsi="Garamond"/>
        </w:rPr>
        <w:t>Pg</w:t>
      </w:r>
      <w:proofErr w:type="spellEnd"/>
      <w:r w:rsidRPr="0073574A">
        <w:rPr>
          <w:rFonts w:ascii="Garamond" w:hAnsi="Garamond"/>
        </w:rPr>
        <w:t xml:space="preserve"> 58</w:t>
      </w:r>
    </w:p>
  </w:footnote>
  <w:footnote w:id="32">
    <w:p w14:paraId="083EEC3F"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“But if, from the mere fact that I can bring forth from my thought the idea of something, it follows all that I clearly and distinctly perceive to belong to that thing really does belong to it, then cannot this too be a basis for an argument proving the existence of God? Clearly the idea of God, that is, the idea of a supremely perfect being, is one I discover to be no less within me than the idea of any figure or number.” </w:t>
      </w:r>
      <w:proofErr w:type="spellStart"/>
      <w:r w:rsidRPr="0073574A">
        <w:rPr>
          <w:rFonts w:ascii="Garamond" w:hAnsi="Garamond"/>
        </w:rPr>
        <w:t>Pg</w:t>
      </w:r>
      <w:proofErr w:type="spellEnd"/>
      <w:r w:rsidRPr="0073574A">
        <w:rPr>
          <w:rFonts w:ascii="Garamond" w:hAnsi="Garamond"/>
        </w:rPr>
        <w:t xml:space="preserve"> 59</w:t>
      </w:r>
    </w:p>
  </w:footnote>
  <w:footnote w:id="33">
    <w:p w14:paraId="70F9DCC3"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“But from the fact that I cannot think of God except as existing, it follows that existence is inseparable from God, and that for this reason he really exists.” </w:t>
      </w:r>
      <w:proofErr w:type="spellStart"/>
      <w:r w:rsidRPr="0073574A">
        <w:rPr>
          <w:rFonts w:ascii="Garamond" w:hAnsi="Garamond"/>
        </w:rPr>
        <w:t>Pg</w:t>
      </w:r>
      <w:proofErr w:type="spellEnd"/>
      <w:r w:rsidRPr="0073574A">
        <w:rPr>
          <w:rFonts w:ascii="Garamond" w:hAnsi="Garamond"/>
        </w:rPr>
        <w:t xml:space="preserve"> 59</w:t>
      </w:r>
    </w:p>
  </w:footnote>
  <w:footnote w:id="34">
    <w:p w14:paraId="3C9727AA"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“But once I perceived that there is a God, and also understood at the same time that everything else depends on him, and that he is not a deceiver, I then concluded that everything that I clearly and distinctly perceive is necessarily true.” </w:t>
      </w:r>
      <w:proofErr w:type="spellStart"/>
      <w:r w:rsidRPr="0073574A">
        <w:rPr>
          <w:rFonts w:ascii="Garamond" w:hAnsi="Garamond"/>
        </w:rPr>
        <w:t>Pg</w:t>
      </w:r>
      <w:proofErr w:type="spellEnd"/>
      <w:r w:rsidRPr="0073574A">
        <w:rPr>
          <w:rFonts w:ascii="Garamond" w:hAnsi="Garamond"/>
        </w:rPr>
        <w:t xml:space="preserve"> 61</w:t>
      </w:r>
    </w:p>
  </w:footnote>
  <w:footnote w:id="35">
    <w:p w14:paraId="0DD9844B"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“But now it is possible for me to achieve full and certain knowledge about countless things, both about God and other intellectual matters, as well as about the entirety of that corporeal nature which is the object of pure mathematics.” </w:t>
      </w:r>
      <w:proofErr w:type="spellStart"/>
      <w:r w:rsidRPr="0073574A">
        <w:rPr>
          <w:rFonts w:ascii="Garamond" w:hAnsi="Garamond"/>
        </w:rPr>
        <w:t>Pg</w:t>
      </w:r>
      <w:proofErr w:type="spellEnd"/>
      <w:r w:rsidRPr="0073574A">
        <w:rPr>
          <w:rFonts w:ascii="Garamond" w:hAnsi="Garamond"/>
        </w:rPr>
        <w:t xml:space="preserve"> 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34302"/>
    <w:multiLevelType w:val="hybridMultilevel"/>
    <w:tmpl w:val="14485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BA47AF"/>
    <w:multiLevelType w:val="hybridMultilevel"/>
    <w:tmpl w:val="E200B1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EF1"/>
    <w:rsid w:val="00137BBB"/>
    <w:rsid w:val="00215407"/>
    <w:rsid w:val="002C0DD4"/>
    <w:rsid w:val="00302D56"/>
    <w:rsid w:val="0040162A"/>
    <w:rsid w:val="004115B1"/>
    <w:rsid w:val="00634007"/>
    <w:rsid w:val="0069530D"/>
    <w:rsid w:val="006B3702"/>
    <w:rsid w:val="006F0CD9"/>
    <w:rsid w:val="00707394"/>
    <w:rsid w:val="0082629C"/>
    <w:rsid w:val="00977D2A"/>
    <w:rsid w:val="009E18CB"/>
    <w:rsid w:val="00A25D38"/>
    <w:rsid w:val="00A65EF1"/>
    <w:rsid w:val="00B3088A"/>
    <w:rsid w:val="00B9048F"/>
    <w:rsid w:val="00DE7312"/>
    <w:rsid w:val="00F514D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CF6D"/>
  <w15:chartTrackingRefBased/>
  <w15:docId w15:val="{176A3475-AB8C-DA48-9FB8-A7EEF0D6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EF1"/>
    <w:rPr>
      <w:color w:val="0563C1" w:themeColor="hyperlink"/>
      <w:u w:val="single"/>
    </w:rPr>
  </w:style>
  <w:style w:type="character" w:styleId="UnresolvedMention">
    <w:name w:val="Unresolved Mention"/>
    <w:basedOn w:val="DefaultParagraphFont"/>
    <w:uiPriority w:val="99"/>
    <w:semiHidden/>
    <w:unhideWhenUsed/>
    <w:rsid w:val="00A65EF1"/>
    <w:rPr>
      <w:color w:val="605E5C"/>
      <w:shd w:val="clear" w:color="auto" w:fill="E1DFDD"/>
    </w:rPr>
  </w:style>
  <w:style w:type="paragraph" w:styleId="ListParagraph">
    <w:name w:val="List Paragraph"/>
    <w:basedOn w:val="Normal"/>
    <w:uiPriority w:val="34"/>
    <w:qFormat/>
    <w:rsid w:val="00A65EF1"/>
    <w:pPr>
      <w:ind w:left="720"/>
      <w:contextualSpacing/>
    </w:pPr>
  </w:style>
  <w:style w:type="paragraph" w:styleId="NoSpacing">
    <w:name w:val="No Spacing"/>
    <w:uiPriority w:val="1"/>
    <w:qFormat/>
    <w:rsid w:val="00A65EF1"/>
    <w:rPr>
      <w:rFonts w:ascii="Calibri" w:eastAsia="Calibri" w:hAnsi="Calibri" w:cs="Times New Roman"/>
      <w:sz w:val="22"/>
      <w:szCs w:val="22"/>
      <w:lang w:val="en-US"/>
    </w:rPr>
  </w:style>
  <w:style w:type="paragraph" w:styleId="FootnoteText">
    <w:name w:val="footnote text"/>
    <w:basedOn w:val="Normal"/>
    <w:link w:val="FootnoteTextChar"/>
    <w:uiPriority w:val="99"/>
    <w:unhideWhenUsed/>
    <w:rsid w:val="00A65EF1"/>
    <w:rPr>
      <w:sz w:val="20"/>
      <w:szCs w:val="20"/>
    </w:rPr>
  </w:style>
  <w:style w:type="character" w:customStyle="1" w:styleId="FootnoteTextChar">
    <w:name w:val="Footnote Text Char"/>
    <w:basedOn w:val="DefaultParagraphFont"/>
    <w:link w:val="FootnoteText"/>
    <w:uiPriority w:val="99"/>
    <w:rsid w:val="00A65EF1"/>
    <w:rPr>
      <w:sz w:val="20"/>
      <w:szCs w:val="20"/>
    </w:rPr>
  </w:style>
  <w:style w:type="character" w:styleId="FootnoteReference">
    <w:name w:val="footnote reference"/>
    <w:basedOn w:val="DefaultParagraphFont"/>
    <w:uiPriority w:val="99"/>
    <w:semiHidden/>
    <w:unhideWhenUsed/>
    <w:rsid w:val="00A65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gsutanto@rt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9</Pages>
  <Words>2485</Words>
  <Characters>14170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nathaniel.gray89@outlook.com</dc:creator>
  <cp:keywords/>
  <dc:description/>
  <cp:lastModifiedBy>nathaniel.gray89@outlook.com</cp:lastModifiedBy>
  <cp:revision>14</cp:revision>
  <dcterms:created xsi:type="dcterms:W3CDTF">2020-10-07T03:26:00Z</dcterms:created>
  <dcterms:modified xsi:type="dcterms:W3CDTF">2020-11-11T12:58:00Z</dcterms:modified>
</cp:coreProperties>
</file>