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37AD" w14:textId="7D36A896" w:rsidR="000A2401" w:rsidRDefault="00E3579E" w:rsidP="00E3579E">
      <w:pPr>
        <w:jc w:val="center"/>
        <w:rPr>
          <w:b/>
          <w:sz w:val="28"/>
          <w:szCs w:val="28"/>
        </w:rPr>
      </w:pPr>
      <w:r>
        <w:rPr>
          <w:b/>
          <w:sz w:val="28"/>
          <w:szCs w:val="28"/>
        </w:rPr>
        <w:t>PSY</w:t>
      </w:r>
      <w:r w:rsidR="008C61CE">
        <w:rPr>
          <w:b/>
          <w:sz w:val="28"/>
          <w:szCs w:val="28"/>
        </w:rPr>
        <w:t>5</w:t>
      </w:r>
      <w:r w:rsidR="00584807">
        <w:rPr>
          <w:b/>
          <w:sz w:val="28"/>
          <w:szCs w:val="28"/>
        </w:rPr>
        <w:t>1</w:t>
      </w:r>
      <w:r w:rsidR="00151FF1">
        <w:rPr>
          <w:b/>
          <w:sz w:val="28"/>
          <w:szCs w:val="28"/>
        </w:rPr>
        <w:t>30</w:t>
      </w:r>
      <w:r w:rsidR="008C61CE">
        <w:rPr>
          <w:b/>
          <w:sz w:val="28"/>
          <w:szCs w:val="28"/>
        </w:rPr>
        <w:t xml:space="preserve"> </w:t>
      </w:r>
      <w:r w:rsidR="00584807">
        <w:rPr>
          <w:b/>
          <w:sz w:val="28"/>
          <w:szCs w:val="28"/>
        </w:rPr>
        <w:t>HUMAN GROWTH &amp; DEVELOPMENT</w:t>
      </w:r>
    </w:p>
    <w:p w14:paraId="46B2ADC1" w14:textId="2AD138CE" w:rsidR="00A35BE8" w:rsidRDefault="002801F5" w:rsidP="00E3579E">
      <w:pPr>
        <w:jc w:val="center"/>
        <w:rPr>
          <w:b/>
          <w:sz w:val="28"/>
          <w:szCs w:val="28"/>
        </w:rPr>
      </w:pPr>
      <w:r>
        <w:rPr>
          <w:b/>
          <w:sz w:val="28"/>
          <w:szCs w:val="28"/>
        </w:rPr>
        <w:t>Reformed Theological Seminary</w:t>
      </w:r>
      <w:r w:rsidR="00CB6311">
        <w:rPr>
          <w:b/>
          <w:sz w:val="28"/>
          <w:szCs w:val="28"/>
        </w:rPr>
        <w:t xml:space="preserve"> </w:t>
      </w:r>
      <w:r w:rsidR="000C708A">
        <w:rPr>
          <w:b/>
          <w:sz w:val="28"/>
          <w:szCs w:val="28"/>
        </w:rPr>
        <w:t>–</w:t>
      </w:r>
      <w:r w:rsidR="002620CE">
        <w:rPr>
          <w:b/>
          <w:sz w:val="28"/>
          <w:szCs w:val="28"/>
        </w:rPr>
        <w:t xml:space="preserve"> </w:t>
      </w:r>
      <w:r w:rsidR="00893115">
        <w:rPr>
          <w:b/>
          <w:sz w:val="28"/>
          <w:szCs w:val="28"/>
        </w:rPr>
        <w:t>Jackson</w:t>
      </w:r>
    </w:p>
    <w:p w14:paraId="4FC0B102" w14:textId="67855226" w:rsidR="00E3579E" w:rsidRDefault="008C61CE" w:rsidP="00485634">
      <w:pPr>
        <w:jc w:val="center"/>
      </w:pPr>
      <w:r>
        <w:t xml:space="preserve">Fall </w:t>
      </w:r>
      <w:r w:rsidR="006D768F">
        <w:t>2020</w:t>
      </w:r>
    </w:p>
    <w:p w14:paraId="2E538925" w14:textId="77777777" w:rsidR="00E3579E" w:rsidRDefault="00E3579E" w:rsidP="00485634">
      <w:pPr>
        <w:jc w:val="center"/>
      </w:pPr>
      <w:r>
        <w:t>3 Credit Hours</w:t>
      </w:r>
    </w:p>
    <w:p w14:paraId="55C12E1A" w14:textId="77777777" w:rsidR="00E3579E" w:rsidRDefault="00E3579E" w:rsidP="000A2401"/>
    <w:p w14:paraId="3274FFD4" w14:textId="247A3AF6" w:rsidR="0019654F" w:rsidRPr="002620CE" w:rsidRDefault="00E3579E" w:rsidP="002620CE">
      <w:pPr>
        <w:rPr>
          <w:b/>
          <w:sz w:val="28"/>
          <w:szCs w:val="28"/>
        </w:rPr>
      </w:pPr>
      <w:r>
        <w:rPr>
          <w:b/>
          <w:sz w:val="28"/>
          <w:szCs w:val="28"/>
        </w:rPr>
        <w:t>Instructor</w:t>
      </w:r>
      <w:bookmarkStart w:id="0" w:name="_GoBack"/>
      <w:bookmarkEnd w:id="0"/>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2620CE" w14:paraId="55C86426" w14:textId="77777777" w:rsidTr="002620CE">
        <w:tc>
          <w:tcPr>
            <w:tcW w:w="5148" w:type="dxa"/>
          </w:tcPr>
          <w:p w14:paraId="2B7A358A" w14:textId="6E499B66" w:rsidR="002620CE" w:rsidRPr="00E3579E" w:rsidRDefault="00893115" w:rsidP="002620CE">
            <w:pPr>
              <w:rPr>
                <w:b/>
              </w:rPr>
            </w:pPr>
            <w:r>
              <w:t>Laura McMahon</w:t>
            </w:r>
          </w:p>
          <w:p w14:paraId="0A6B765F" w14:textId="2CEFD7B0" w:rsidR="002620CE" w:rsidRDefault="002620CE" w:rsidP="002620CE"/>
        </w:tc>
        <w:tc>
          <w:tcPr>
            <w:tcW w:w="5130" w:type="dxa"/>
          </w:tcPr>
          <w:p w14:paraId="1DBCE366" w14:textId="77777777" w:rsidR="002620CE" w:rsidRDefault="002620CE" w:rsidP="002620CE">
            <w:pPr>
              <w:rPr>
                <w:b/>
              </w:rPr>
            </w:pPr>
            <w:r>
              <w:rPr>
                <w:b/>
              </w:rPr>
              <w:t>Class m</w:t>
            </w:r>
            <w:r w:rsidRPr="00E3579E">
              <w:rPr>
                <w:b/>
              </w:rPr>
              <w:t>eeting time</w:t>
            </w:r>
          </w:p>
          <w:p w14:paraId="726C7613" w14:textId="3B86705E" w:rsidR="002620CE" w:rsidRDefault="002620CE" w:rsidP="002620CE">
            <w:r>
              <w:t>Wednesdays, 1:00-4:00pm</w:t>
            </w:r>
          </w:p>
          <w:p w14:paraId="45FAB5AE" w14:textId="77777777" w:rsidR="002620CE" w:rsidRPr="00E3579E" w:rsidRDefault="002620CE" w:rsidP="002620CE">
            <w:pPr>
              <w:rPr>
                <w:b/>
              </w:rPr>
            </w:pPr>
            <w:r>
              <w:rPr>
                <w:b/>
              </w:rPr>
              <w:t>Office Hours</w:t>
            </w:r>
            <w:r w:rsidRPr="00E3579E">
              <w:rPr>
                <w:b/>
              </w:rPr>
              <w:tab/>
            </w:r>
          </w:p>
          <w:p w14:paraId="3E18BAF0" w14:textId="0D4E3692" w:rsidR="002620CE" w:rsidRDefault="002620CE" w:rsidP="002620CE">
            <w:r>
              <w:t>By appointment (schedule via email)</w:t>
            </w:r>
          </w:p>
        </w:tc>
      </w:tr>
    </w:tbl>
    <w:p w14:paraId="03B6F347" w14:textId="77777777" w:rsidR="00485634" w:rsidRDefault="00485634" w:rsidP="00485634">
      <w:pPr>
        <w:sectPr w:rsidR="00485634" w:rsidSect="000F3DC7">
          <w:headerReference w:type="default" r:id="rId8"/>
          <w:footerReference w:type="default" r:id="rId9"/>
          <w:pgSz w:w="12240" w:h="15840"/>
          <w:pgMar w:top="1440" w:right="1080" w:bottom="1440" w:left="1080" w:header="720" w:footer="720" w:gutter="0"/>
          <w:cols w:space="720"/>
          <w:docGrid w:linePitch="360"/>
        </w:sectPr>
      </w:pPr>
    </w:p>
    <w:p w14:paraId="34B255C8" w14:textId="77777777" w:rsidR="000A2401" w:rsidRPr="00BE4864" w:rsidRDefault="000A2401" w:rsidP="000A2401">
      <w:pPr>
        <w:rPr>
          <w:b/>
          <w:sz w:val="28"/>
          <w:szCs w:val="28"/>
        </w:rPr>
      </w:pPr>
      <w:r w:rsidRPr="00BE4864">
        <w:rPr>
          <w:b/>
          <w:sz w:val="28"/>
          <w:szCs w:val="28"/>
        </w:rPr>
        <w:lastRenderedPageBreak/>
        <w:t xml:space="preserve">Course </w:t>
      </w:r>
      <w:r w:rsidR="00FF173A">
        <w:rPr>
          <w:b/>
          <w:sz w:val="28"/>
          <w:szCs w:val="28"/>
        </w:rPr>
        <w:t>D</w:t>
      </w:r>
      <w:r w:rsidR="00CE79B2">
        <w:rPr>
          <w:b/>
          <w:sz w:val="28"/>
          <w:szCs w:val="28"/>
        </w:rPr>
        <w:t>escription</w:t>
      </w:r>
    </w:p>
    <w:p w14:paraId="0C7B0FBD" w14:textId="77777777" w:rsidR="002620CE" w:rsidRPr="002620CE" w:rsidRDefault="002620CE" w:rsidP="002620CE">
      <w:r w:rsidRPr="002620CE">
        <w:t>This course centers on human growth and development and will provide an overview of the major theories, concepts, and issues of life span development.  Life is an ever changing and dynamic process which can be studied and understood as an interaction between story, setting, themes and the unique issues of each developmental epoch.</w:t>
      </w:r>
    </w:p>
    <w:p w14:paraId="4458B215" w14:textId="77777777" w:rsidR="00391C35" w:rsidRDefault="00391C35" w:rsidP="00984415"/>
    <w:p w14:paraId="19B4A640" w14:textId="77777777" w:rsidR="00984415" w:rsidRDefault="00EC0552" w:rsidP="00EC0552">
      <w:pPr>
        <w:rPr>
          <w:b/>
          <w:sz w:val="28"/>
          <w:szCs w:val="28"/>
        </w:rPr>
      </w:pPr>
      <w:r w:rsidRPr="00BE4864">
        <w:rPr>
          <w:b/>
          <w:sz w:val="28"/>
          <w:szCs w:val="28"/>
        </w:rPr>
        <w:t xml:space="preserve">Course </w:t>
      </w:r>
      <w:r>
        <w:rPr>
          <w:b/>
          <w:sz w:val="28"/>
          <w:szCs w:val="28"/>
        </w:rPr>
        <w:t>Objectives</w:t>
      </w:r>
      <w:r w:rsidR="00A53D34">
        <w:rPr>
          <w:b/>
          <w:sz w:val="28"/>
          <w:szCs w:val="28"/>
        </w:rPr>
        <w:t xml:space="preserve"> (Knowledge and Skill Outcomes)</w:t>
      </w:r>
    </w:p>
    <w:p w14:paraId="417E20A1" w14:textId="77777777" w:rsidR="009A5FEC" w:rsidRDefault="009A5FEC" w:rsidP="009A5FEC">
      <w:r>
        <w:t>Students will gain an understanding of the nature and needs of persons at all developmental levels and</w:t>
      </w:r>
    </w:p>
    <w:p w14:paraId="1EB68B7E" w14:textId="77777777" w:rsidR="009A5FEC" w:rsidRDefault="009A5FEC" w:rsidP="009A5FEC">
      <w:r>
        <w:t>in multicultural contexts, including all of the following:</w:t>
      </w:r>
    </w:p>
    <w:p w14:paraId="5C1233CB" w14:textId="77777777" w:rsidR="009A5FEC" w:rsidRPr="009A5FEC" w:rsidRDefault="009A5FEC" w:rsidP="009A5FEC">
      <w:pPr>
        <w:rPr>
          <w:sz w:val="12"/>
          <w:szCs w:val="12"/>
        </w:rPr>
      </w:pPr>
    </w:p>
    <w:p w14:paraId="4159D67A" w14:textId="77777777" w:rsidR="009A5FEC" w:rsidRPr="00BB6B0E" w:rsidRDefault="009A5FEC" w:rsidP="009A5FEC">
      <w:pPr>
        <w:ind w:left="720" w:hanging="720"/>
        <w:rPr>
          <w:rFonts w:cstheme="minorHAnsi"/>
        </w:rPr>
      </w:pPr>
      <w:r w:rsidRPr="00BB6B0E">
        <w:rPr>
          <w:rFonts w:cstheme="minorHAnsi"/>
        </w:rPr>
        <w:t>CO1.</w:t>
      </w:r>
      <w:r w:rsidRPr="00BB6B0E">
        <w:rPr>
          <w:rFonts w:cstheme="minorHAnsi"/>
        </w:rPr>
        <w:tab/>
      </w:r>
      <w:r>
        <w:rPr>
          <w:rFonts w:cstheme="minorHAnsi"/>
          <w:b/>
        </w:rPr>
        <w:t xml:space="preserve">Developmental Theories. </w:t>
      </w:r>
      <w:r w:rsidRPr="00BB6B0E">
        <w:rPr>
          <w:rFonts w:cstheme="minorHAnsi"/>
        </w:rPr>
        <w:t xml:space="preserve">Develop a working knowledge of the theories of individual and family development </w:t>
      </w:r>
      <w:r>
        <w:rPr>
          <w:rFonts w:cstheme="minorHAnsi"/>
        </w:rPr>
        <w:t>a</w:t>
      </w:r>
      <w:r w:rsidRPr="00BB6B0E">
        <w:rPr>
          <w:rFonts w:cstheme="minorHAnsi"/>
        </w:rPr>
        <w:t>cross the life-span</w:t>
      </w:r>
      <w:r>
        <w:rPr>
          <w:rFonts w:cstheme="minorHAnsi"/>
        </w:rPr>
        <w:t xml:space="preserve"> (2.F.3</w:t>
      </w:r>
      <w:r w:rsidRPr="00DA20A5">
        <w:rPr>
          <w:rFonts w:cstheme="minorHAnsi"/>
        </w:rPr>
        <w:t>.a</w:t>
      </w:r>
      <w:r>
        <w:rPr>
          <w:rFonts w:cstheme="minorHAnsi"/>
        </w:rPr>
        <w:t>)</w:t>
      </w:r>
    </w:p>
    <w:p w14:paraId="2E85D718" w14:textId="77777777" w:rsidR="009A5FEC" w:rsidRDefault="009A5FEC" w:rsidP="009A5FEC">
      <w:pPr>
        <w:ind w:left="720" w:hanging="720"/>
        <w:rPr>
          <w:rFonts w:cstheme="minorHAnsi"/>
        </w:rPr>
      </w:pPr>
      <w:r w:rsidRPr="00BB6B0E">
        <w:rPr>
          <w:rFonts w:cstheme="minorHAnsi"/>
        </w:rPr>
        <w:t>CO2.</w:t>
      </w:r>
      <w:r w:rsidRPr="00BB6B0E">
        <w:rPr>
          <w:rFonts w:cstheme="minorHAnsi"/>
        </w:rPr>
        <w:tab/>
      </w:r>
      <w:r>
        <w:rPr>
          <w:rFonts w:cstheme="minorHAnsi"/>
          <w:b/>
        </w:rPr>
        <w:t xml:space="preserve">Learning Theories. </w:t>
      </w:r>
      <w:r w:rsidRPr="00BB6B0E">
        <w:rPr>
          <w:rFonts w:cstheme="minorHAnsi"/>
        </w:rPr>
        <w:t>Become famili</w:t>
      </w:r>
      <w:r>
        <w:rPr>
          <w:rFonts w:cstheme="minorHAnsi"/>
        </w:rPr>
        <w:t>ar with theories of learning (2.F.3</w:t>
      </w:r>
      <w:r w:rsidRPr="00DA20A5">
        <w:rPr>
          <w:rFonts w:cstheme="minorHAnsi"/>
        </w:rPr>
        <w:t>.</w:t>
      </w:r>
      <w:r>
        <w:rPr>
          <w:rFonts w:cstheme="minorHAnsi"/>
        </w:rPr>
        <w:t>b)</w:t>
      </w:r>
    </w:p>
    <w:p w14:paraId="5F998637" w14:textId="77777777" w:rsidR="009A5FEC" w:rsidRPr="00BB6B0E" w:rsidRDefault="009A5FEC" w:rsidP="009A5FEC">
      <w:pPr>
        <w:ind w:left="720" w:hanging="720"/>
        <w:rPr>
          <w:rFonts w:cstheme="minorHAnsi"/>
        </w:rPr>
      </w:pPr>
      <w:r>
        <w:rPr>
          <w:rFonts w:cstheme="minorHAnsi"/>
        </w:rPr>
        <w:t>CO3.</w:t>
      </w:r>
      <w:r>
        <w:rPr>
          <w:rFonts w:cstheme="minorHAnsi"/>
        </w:rPr>
        <w:tab/>
      </w:r>
      <w:r>
        <w:rPr>
          <w:rFonts w:cstheme="minorHAnsi"/>
          <w:b/>
        </w:rPr>
        <w:t xml:space="preserve">Personality. </w:t>
      </w:r>
      <w:r w:rsidRPr="00BB6B0E">
        <w:rPr>
          <w:rFonts w:cstheme="minorHAnsi"/>
        </w:rPr>
        <w:t>Become famili</w:t>
      </w:r>
      <w:r>
        <w:rPr>
          <w:rFonts w:cstheme="minorHAnsi"/>
        </w:rPr>
        <w:t>ar with theories of</w:t>
      </w:r>
      <w:r w:rsidRPr="00BB6B0E">
        <w:rPr>
          <w:rFonts w:cstheme="minorHAnsi"/>
        </w:rPr>
        <w:t xml:space="preserve"> personality development </w:t>
      </w:r>
      <w:r>
        <w:rPr>
          <w:rFonts w:cstheme="minorHAnsi"/>
        </w:rPr>
        <w:t>(2.F.3</w:t>
      </w:r>
      <w:r w:rsidRPr="00DA20A5">
        <w:rPr>
          <w:rFonts w:cstheme="minorHAnsi"/>
        </w:rPr>
        <w:t>.</w:t>
      </w:r>
      <w:r>
        <w:rPr>
          <w:rFonts w:cstheme="minorHAnsi"/>
        </w:rPr>
        <w:t>c)</w:t>
      </w:r>
    </w:p>
    <w:p w14:paraId="1FBEC54C" w14:textId="77777777" w:rsidR="009A5FEC" w:rsidRPr="00A20322" w:rsidRDefault="009A5FEC" w:rsidP="009A5FEC">
      <w:pPr>
        <w:ind w:left="720" w:hanging="720"/>
        <w:rPr>
          <w:rFonts w:cstheme="minorHAnsi"/>
          <w:b/>
        </w:rPr>
      </w:pPr>
      <w:r w:rsidRPr="00BB6B0E">
        <w:rPr>
          <w:rFonts w:cstheme="minorHAnsi"/>
        </w:rPr>
        <w:t>CO</w:t>
      </w:r>
      <w:r>
        <w:rPr>
          <w:rFonts w:cstheme="minorHAnsi"/>
        </w:rPr>
        <w:t>4</w:t>
      </w:r>
      <w:r w:rsidRPr="00BB6B0E">
        <w:rPr>
          <w:rFonts w:cstheme="minorHAnsi"/>
        </w:rPr>
        <w:t>.</w:t>
      </w:r>
      <w:r w:rsidRPr="00BB6B0E">
        <w:rPr>
          <w:rFonts w:cstheme="minorHAnsi"/>
        </w:rPr>
        <w:tab/>
      </w:r>
      <w:r>
        <w:rPr>
          <w:rFonts w:cstheme="minorHAnsi"/>
          <w:b/>
        </w:rPr>
        <w:t xml:space="preserve">Addiction. </w:t>
      </w:r>
      <w:r w:rsidRPr="00982D8E">
        <w:rPr>
          <w:rFonts w:cstheme="minorHAnsi"/>
        </w:rPr>
        <w:t>T</w:t>
      </w:r>
      <w:r w:rsidRPr="00A20322">
        <w:rPr>
          <w:rFonts w:cstheme="minorHAnsi"/>
        </w:rPr>
        <w:t>heories and etiology of addictions and addictive behaviors</w:t>
      </w:r>
      <w:r>
        <w:rPr>
          <w:rFonts w:cstheme="minorHAnsi"/>
        </w:rPr>
        <w:t xml:space="preserve"> (2.F.3.d)</w:t>
      </w:r>
    </w:p>
    <w:p w14:paraId="74A3BBDD" w14:textId="77777777" w:rsidR="009A5FEC" w:rsidRPr="00BB6B0E" w:rsidRDefault="009A5FEC" w:rsidP="009A5FEC">
      <w:pPr>
        <w:ind w:left="720" w:hanging="720"/>
        <w:rPr>
          <w:rFonts w:cstheme="minorHAnsi"/>
        </w:rPr>
      </w:pPr>
      <w:r>
        <w:rPr>
          <w:rFonts w:cstheme="minorHAnsi"/>
        </w:rPr>
        <w:t>CO5.</w:t>
      </w:r>
      <w:r>
        <w:rPr>
          <w:rFonts w:cstheme="minorHAnsi"/>
        </w:rPr>
        <w:tab/>
      </w:r>
      <w:r>
        <w:rPr>
          <w:rFonts w:cstheme="minorHAnsi"/>
          <w:b/>
        </w:rPr>
        <w:t xml:space="preserve">Biology Factors. </w:t>
      </w:r>
      <w:r>
        <w:rPr>
          <w:rFonts w:cstheme="minorHAnsi"/>
        </w:rPr>
        <w:t xml:space="preserve">Develop a working knowledge of </w:t>
      </w:r>
      <w:r w:rsidRPr="006C4E95">
        <w:rPr>
          <w:rFonts w:cstheme="minorHAnsi"/>
        </w:rPr>
        <w:t>biological, neurological, and physiological factors that affect human development, functioning, and behavior</w:t>
      </w:r>
      <w:r>
        <w:rPr>
          <w:rFonts w:cstheme="minorHAnsi"/>
        </w:rPr>
        <w:t xml:space="preserve"> (2.F.3.e)</w:t>
      </w:r>
    </w:p>
    <w:p w14:paraId="486B0386" w14:textId="77777777" w:rsidR="009A5FEC" w:rsidRDefault="009A5FEC" w:rsidP="009A5FEC">
      <w:pPr>
        <w:ind w:left="720" w:hanging="720"/>
        <w:rPr>
          <w:rFonts w:cstheme="minorHAnsi"/>
        </w:rPr>
      </w:pPr>
      <w:r w:rsidRPr="00BB6B0E">
        <w:rPr>
          <w:rFonts w:cstheme="minorHAnsi"/>
        </w:rPr>
        <w:t>CO</w:t>
      </w:r>
      <w:r>
        <w:rPr>
          <w:rFonts w:cstheme="minorHAnsi"/>
        </w:rPr>
        <w:t>6</w:t>
      </w:r>
      <w:r w:rsidRPr="00BB6B0E">
        <w:rPr>
          <w:rFonts w:cstheme="minorHAnsi"/>
        </w:rPr>
        <w:t>.</w:t>
      </w:r>
      <w:r w:rsidRPr="00BB6B0E">
        <w:rPr>
          <w:rFonts w:cstheme="minorHAnsi"/>
        </w:rPr>
        <w:tab/>
      </w:r>
      <w:r>
        <w:rPr>
          <w:rFonts w:cstheme="minorHAnsi"/>
          <w:b/>
        </w:rPr>
        <w:t xml:space="preserve">Systemic and Environmental Factors. </w:t>
      </w:r>
      <w:r w:rsidRPr="00BB6B0E">
        <w:rPr>
          <w:rFonts w:cstheme="minorHAnsi"/>
        </w:rPr>
        <w:t>Gain an awareness of</w:t>
      </w:r>
      <w:r w:rsidRPr="006C4E95">
        <w:t xml:space="preserve"> </w:t>
      </w:r>
      <w:r w:rsidRPr="006C4E95">
        <w:rPr>
          <w:rFonts w:cstheme="minorHAnsi"/>
        </w:rPr>
        <w:t>systemic and environmental factors that affect human development, functioning, and behavior</w:t>
      </w:r>
      <w:r>
        <w:rPr>
          <w:rFonts w:cstheme="minorHAnsi"/>
        </w:rPr>
        <w:t xml:space="preserve"> (2.F.3.f)</w:t>
      </w:r>
    </w:p>
    <w:p w14:paraId="4C72F76F" w14:textId="77777777" w:rsidR="009A5FEC" w:rsidRDefault="009A5FEC" w:rsidP="009A5FEC">
      <w:pPr>
        <w:ind w:left="720" w:hanging="720"/>
        <w:rPr>
          <w:rFonts w:cstheme="minorHAnsi"/>
        </w:rPr>
      </w:pPr>
      <w:r>
        <w:rPr>
          <w:rFonts w:cstheme="minorHAnsi"/>
        </w:rPr>
        <w:t>CO7.</w:t>
      </w:r>
      <w:r>
        <w:rPr>
          <w:rFonts w:cstheme="minorHAnsi"/>
        </w:rPr>
        <w:tab/>
      </w:r>
      <w:r>
        <w:rPr>
          <w:rFonts w:cstheme="minorHAnsi"/>
          <w:b/>
        </w:rPr>
        <w:t xml:space="preserve">Trauma. </w:t>
      </w:r>
      <w:r>
        <w:rPr>
          <w:rFonts w:cstheme="minorHAnsi"/>
        </w:rPr>
        <w:t>E</w:t>
      </w:r>
      <w:r w:rsidRPr="00982D8E">
        <w:rPr>
          <w:rFonts w:cstheme="minorHAnsi"/>
        </w:rPr>
        <w:t>ffects of crisis, disasters, and trauma on diverse individuals across the lifespan</w:t>
      </w:r>
      <w:r>
        <w:rPr>
          <w:rFonts w:cstheme="minorHAnsi"/>
        </w:rPr>
        <w:t xml:space="preserve"> (2.F.3.g)</w:t>
      </w:r>
    </w:p>
    <w:p w14:paraId="718B294C" w14:textId="77777777" w:rsidR="009A5FEC" w:rsidRPr="00982D8E" w:rsidRDefault="009A5FEC" w:rsidP="009A5FEC">
      <w:pPr>
        <w:ind w:left="720" w:hanging="720"/>
        <w:rPr>
          <w:rFonts w:cstheme="minorHAnsi"/>
        </w:rPr>
      </w:pPr>
      <w:r>
        <w:rPr>
          <w:rFonts w:cstheme="minorHAnsi"/>
        </w:rPr>
        <w:t>CO8.</w:t>
      </w:r>
      <w:r>
        <w:rPr>
          <w:rFonts w:cstheme="minorHAnsi"/>
        </w:rPr>
        <w:tab/>
      </w:r>
      <w:r>
        <w:rPr>
          <w:rFonts w:cstheme="minorHAnsi"/>
          <w:b/>
        </w:rPr>
        <w:t xml:space="preserve">Differing Abilities. </w:t>
      </w:r>
      <w:r>
        <w:rPr>
          <w:rFonts w:cstheme="minorHAnsi"/>
        </w:rPr>
        <w:t>A</w:t>
      </w:r>
      <w:r w:rsidRPr="00982D8E">
        <w:rPr>
          <w:rFonts w:cstheme="minorHAnsi"/>
        </w:rPr>
        <w:t xml:space="preserve"> general framework for understanding differing abilities and strategies for differentiated interventions</w:t>
      </w:r>
      <w:r>
        <w:rPr>
          <w:rFonts w:cstheme="minorHAnsi"/>
        </w:rPr>
        <w:t xml:space="preserve"> (2.F.3.h)</w:t>
      </w:r>
    </w:p>
    <w:p w14:paraId="02BC4FDC" w14:textId="77777777" w:rsidR="009A5FEC" w:rsidRDefault="009A5FEC" w:rsidP="009A5FEC">
      <w:pPr>
        <w:ind w:left="720" w:hanging="720"/>
        <w:rPr>
          <w:rFonts w:cstheme="minorHAnsi"/>
        </w:rPr>
      </w:pPr>
      <w:r w:rsidRPr="00BB6B0E">
        <w:rPr>
          <w:rFonts w:cstheme="minorHAnsi"/>
        </w:rPr>
        <w:t>CO</w:t>
      </w:r>
      <w:r>
        <w:rPr>
          <w:rFonts w:cstheme="minorHAnsi"/>
        </w:rPr>
        <w:t>9</w:t>
      </w:r>
      <w:r w:rsidRPr="00BB6B0E">
        <w:rPr>
          <w:rFonts w:cstheme="minorHAnsi"/>
        </w:rPr>
        <w:t>.</w:t>
      </w:r>
      <w:r w:rsidRPr="00BB6B0E">
        <w:rPr>
          <w:rFonts w:cstheme="minorHAnsi"/>
        </w:rPr>
        <w:tab/>
      </w:r>
      <w:r>
        <w:rPr>
          <w:rFonts w:cstheme="minorHAnsi"/>
          <w:b/>
        </w:rPr>
        <w:t xml:space="preserve">Resilience. </w:t>
      </w:r>
      <w:r>
        <w:rPr>
          <w:rFonts w:cstheme="minorHAnsi"/>
        </w:rPr>
        <w:t xml:space="preserve">Gain awareness of </w:t>
      </w:r>
      <w:r w:rsidRPr="006C4E95">
        <w:rPr>
          <w:rFonts w:cstheme="minorHAnsi"/>
        </w:rPr>
        <w:t>ethical and culturally relevant strategies for promoting resilience and optimum development and wellness across the lifespan</w:t>
      </w:r>
      <w:r>
        <w:rPr>
          <w:rFonts w:cstheme="minorHAnsi"/>
        </w:rPr>
        <w:t xml:space="preserve"> (2.F.3.i)</w:t>
      </w:r>
    </w:p>
    <w:p w14:paraId="2825C93D" w14:textId="77777777" w:rsidR="000C708A" w:rsidRDefault="000C708A" w:rsidP="000C708A"/>
    <w:p w14:paraId="4CA5F5BD" w14:textId="77777777" w:rsidR="00A53D34" w:rsidRDefault="00A53D34" w:rsidP="004766EA">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14:paraId="008B902B" w14:textId="26153896" w:rsidR="009A5FEC" w:rsidRPr="00C97C81" w:rsidRDefault="009A5FEC" w:rsidP="009A5FEC">
      <w:pPr>
        <w:rPr>
          <w:i/>
        </w:rPr>
      </w:pPr>
      <w:r>
        <w:t>This course will be taught in a traditional classroom format, using lecture, classroom activities, &amp; discussions.</w:t>
      </w:r>
      <w:r>
        <w:rPr>
          <w:i/>
        </w:rPr>
        <w:t xml:space="preserve"> </w:t>
      </w:r>
    </w:p>
    <w:p w14:paraId="12B4B13B" w14:textId="77777777" w:rsidR="0078681E" w:rsidRPr="004766EA" w:rsidRDefault="0078681E" w:rsidP="0078681E">
      <w:pPr>
        <w:ind w:left="360"/>
        <w:rPr>
          <w:sz w:val="24"/>
        </w:rPr>
      </w:pPr>
    </w:p>
    <w:p w14:paraId="38FFD6B6" w14:textId="77777777" w:rsidR="000C708A" w:rsidRDefault="000C708A">
      <w:pPr>
        <w:rPr>
          <w:b/>
          <w:sz w:val="28"/>
          <w:szCs w:val="28"/>
        </w:rPr>
      </w:pPr>
      <w:r>
        <w:rPr>
          <w:b/>
          <w:sz w:val="28"/>
          <w:szCs w:val="28"/>
        </w:rPr>
        <w:br w:type="page"/>
      </w:r>
    </w:p>
    <w:p w14:paraId="44F4E29D" w14:textId="77777777" w:rsidR="009A5FEC" w:rsidRPr="00BE4864" w:rsidRDefault="009A5FEC" w:rsidP="009A5FEC">
      <w:pPr>
        <w:rPr>
          <w:b/>
          <w:sz w:val="28"/>
          <w:szCs w:val="28"/>
        </w:rPr>
      </w:pPr>
      <w:r w:rsidRPr="00BE4864">
        <w:rPr>
          <w:b/>
          <w:sz w:val="28"/>
          <w:szCs w:val="28"/>
        </w:rPr>
        <w:lastRenderedPageBreak/>
        <w:t>Assignments</w:t>
      </w:r>
      <w:r>
        <w:rPr>
          <w:b/>
          <w:sz w:val="28"/>
          <w:szCs w:val="28"/>
        </w:rPr>
        <w:t xml:space="preserve"> (Student Performance Evaluation Criteria)</w:t>
      </w:r>
    </w:p>
    <w:p w14:paraId="01A66A78" w14:textId="77777777" w:rsidR="009A5FEC" w:rsidRPr="009A5FEC" w:rsidRDefault="009A5FEC" w:rsidP="009A5FEC">
      <w:pPr>
        <w:rPr>
          <w:b/>
          <w:sz w:val="20"/>
          <w:szCs w:val="20"/>
        </w:rPr>
      </w:pPr>
    </w:p>
    <w:p w14:paraId="684F315E" w14:textId="7B4AC9EC" w:rsidR="009A5FEC" w:rsidRDefault="009A5FEC" w:rsidP="0033343F">
      <w:pPr>
        <w:numPr>
          <w:ilvl w:val="0"/>
          <w:numId w:val="1"/>
        </w:numPr>
        <w:spacing w:after="120"/>
        <w:ind w:left="360"/>
        <w:rPr>
          <w:szCs w:val="20"/>
        </w:rPr>
      </w:pPr>
      <w:r>
        <w:rPr>
          <w:b/>
          <w:szCs w:val="20"/>
        </w:rPr>
        <w:t xml:space="preserve">Reading </w:t>
      </w:r>
      <w:r w:rsidRPr="00C4480F">
        <w:rPr>
          <w:b/>
          <w:szCs w:val="20"/>
        </w:rPr>
        <w:t>Quizzes</w:t>
      </w:r>
      <w:r w:rsidRPr="00C4480F">
        <w:rPr>
          <w:szCs w:val="20"/>
        </w:rPr>
        <w:t xml:space="preserve"> </w:t>
      </w:r>
      <w:r w:rsidRPr="00C4480F">
        <w:rPr>
          <w:b/>
          <w:szCs w:val="20"/>
        </w:rPr>
        <w:t>(30%)</w:t>
      </w:r>
      <w:r w:rsidRPr="00C4480F">
        <w:rPr>
          <w:szCs w:val="20"/>
        </w:rPr>
        <w:t xml:space="preserve">. Students will be required to complete </w:t>
      </w:r>
      <w:r w:rsidR="003636AA">
        <w:rPr>
          <w:szCs w:val="20"/>
        </w:rPr>
        <w:t xml:space="preserve">5 open-book, reading </w:t>
      </w:r>
      <w:r w:rsidRPr="00C4480F">
        <w:rPr>
          <w:szCs w:val="20"/>
        </w:rPr>
        <w:t xml:space="preserve">quizzes </w:t>
      </w:r>
      <w:r>
        <w:rPr>
          <w:szCs w:val="20"/>
        </w:rPr>
        <w:t xml:space="preserve">on Canvas </w:t>
      </w:r>
      <w:r w:rsidRPr="00C4480F">
        <w:rPr>
          <w:szCs w:val="20"/>
        </w:rPr>
        <w:t xml:space="preserve">as per </w:t>
      </w:r>
      <w:r w:rsidRPr="00C4480F">
        <w:rPr>
          <w:bCs/>
          <w:i/>
          <w:szCs w:val="20"/>
        </w:rPr>
        <w:t>Course Schedule</w:t>
      </w:r>
      <w:r w:rsidRPr="00C4480F">
        <w:rPr>
          <w:szCs w:val="20"/>
        </w:rPr>
        <w:t xml:space="preserve">.  Quizzes </w:t>
      </w:r>
      <w:r>
        <w:rPr>
          <w:szCs w:val="20"/>
        </w:rPr>
        <w:t xml:space="preserve">cover material from chapters in the </w:t>
      </w:r>
      <w:r w:rsidR="003636AA">
        <w:rPr>
          <w:szCs w:val="20"/>
        </w:rPr>
        <w:t>Broderick &amp; Blewitt text.</w:t>
      </w:r>
      <w:r>
        <w:rPr>
          <w:szCs w:val="20"/>
        </w:rPr>
        <w:t xml:space="preserve"> </w:t>
      </w:r>
      <w:r w:rsidRPr="00C4480F">
        <w:rPr>
          <w:szCs w:val="20"/>
        </w:rPr>
        <w:t xml:space="preserve"> </w:t>
      </w:r>
      <w:r>
        <w:rPr>
          <w:szCs w:val="20"/>
        </w:rPr>
        <w:t xml:space="preserve">The quizzes will consist of </w:t>
      </w:r>
      <w:r w:rsidR="00EB696C">
        <w:rPr>
          <w:szCs w:val="20"/>
        </w:rPr>
        <w:t>20</w:t>
      </w:r>
      <w:r w:rsidRPr="00DB0309">
        <w:rPr>
          <w:szCs w:val="20"/>
        </w:rPr>
        <w:t xml:space="preserve"> multiple choice questions. The quizzes will be available to take on Canvas </w:t>
      </w:r>
      <w:r w:rsidR="003636AA">
        <w:rPr>
          <w:szCs w:val="20"/>
        </w:rPr>
        <w:t>between Wednesday-Saturday</w:t>
      </w:r>
      <w:r w:rsidRPr="00DB0309">
        <w:rPr>
          <w:szCs w:val="20"/>
        </w:rPr>
        <w:t xml:space="preserve"> </w:t>
      </w:r>
      <w:r w:rsidR="003636AA">
        <w:rPr>
          <w:szCs w:val="20"/>
        </w:rPr>
        <w:t xml:space="preserve">of the week they are </w:t>
      </w:r>
      <w:r w:rsidR="00716C8B">
        <w:rPr>
          <w:szCs w:val="20"/>
        </w:rPr>
        <w:t>due and</w:t>
      </w:r>
      <w:r w:rsidRPr="00DB0309">
        <w:rPr>
          <w:szCs w:val="20"/>
        </w:rPr>
        <w:t xml:space="preserve"> must be completed by 11:59pm </w:t>
      </w:r>
      <w:r w:rsidR="003636AA">
        <w:rPr>
          <w:szCs w:val="20"/>
        </w:rPr>
        <w:t>on Saturday evening</w:t>
      </w:r>
      <w:r w:rsidRPr="00DB0309">
        <w:rPr>
          <w:szCs w:val="20"/>
        </w:rPr>
        <w:t xml:space="preserve">. </w:t>
      </w:r>
      <w:r w:rsidR="00EB696C">
        <w:rPr>
          <w:szCs w:val="20"/>
        </w:rPr>
        <w:t xml:space="preserve"> </w:t>
      </w:r>
      <w:r w:rsidRPr="00DB0309">
        <w:rPr>
          <w:szCs w:val="20"/>
        </w:rPr>
        <w:t xml:space="preserve"> </w:t>
      </w:r>
    </w:p>
    <w:p w14:paraId="18998583" w14:textId="5A698AE1" w:rsidR="003636AA" w:rsidRPr="00EB696C" w:rsidRDefault="003636AA" w:rsidP="00EB696C">
      <w:pPr>
        <w:numPr>
          <w:ilvl w:val="0"/>
          <w:numId w:val="1"/>
        </w:numPr>
        <w:spacing w:after="120"/>
        <w:ind w:left="360"/>
        <w:rPr>
          <w:szCs w:val="20"/>
        </w:rPr>
      </w:pPr>
      <w:r>
        <w:rPr>
          <w:b/>
          <w:szCs w:val="20"/>
        </w:rPr>
        <w:t>Counselors</w:t>
      </w:r>
      <w:r w:rsidR="00EB696C">
        <w:rPr>
          <w:b/>
          <w:szCs w:val="20"/>
        </w:rPr>
        <w:t>’</w:t>
      </w:r>
      <w:r>
        <w:rPr>
          <w:b/>
          <w:szCs w:val="20"/>
        </w:rPr>
        <w:t xml:space="preserve"> Guide</w:t>
      </w:r>
      <w:r w:rsidR="00716C8B">
        <w:rPr>
          <w:b/>
          <w:szCs w:val="20"/>
        </w:rPr>
        <w:t>s</w:t>
      </w:r>
      <w:r>
        <w:rPr>
          <w:b/>
          <w:szCs w:val="20"/>
        </w:rPr>
        <w:t>: Group Project</w:t>
      </w:r>
      <w:r w:rsidR="009A5FEC">
        <w:rPr>
          <w:b/>
          <w:szCs w:val="20"/>
        </w:rPr>
        <w:t xml:space="preserve"> (20%). </w:t>
      </w:r>
      <w:r w:rsidR="009A5FEC">
        <w:rPr>
          <w:szCs w:val="20"/>
        </w:rPr>
        <w:t>Students will be placed in small groups</w:t>
      </w:r>
      <w:r>
        <w:rPr>
          <w:szCs w:val="20"/>
        </w:rPr>
        <w:t xml:space="preserve">. Each group is responsible for creating a </w:t>
      </w:r>
      <w:r w:rsidR="00EB696C">
        <w:rPr>
          <w:szCs w:val="20"/>
        </w:rPr>
        <w:t>3</w:t>
      </w:r>
      <w:r>
        <w:rPr>
          <w:szCs w:val="20"/>
        </w:rPr>
        <w:t>-</w:t>
      </w:r>
      <w:r w:rsidR="00EB696C">
        <w:rPr>
          <w:szCs w:val="20"/>
        </w:rPr>
        <w:t>4</w:t>
      </w:r>
      <w:r>
        <w:rPr>
          <w:szCs w:val="20"/>
        </w:rPr>
        <w:t xml:space="preserve"> page “Reference Guide for Counseling Individuals and Families” on an assigned topic related to childhood development. The instructor will assign groups and topics at the beginning of the course</w:t>
      </w:r>
      <w:r w:rsidR="00716C8B">
        <w:rPr>
          <w:szCs w:val="20"/>
        </w:rPr>
        <w:t xml:space="preserve">. Each group will be responsible for finding </w:t>
      </w:r>
      <w:r w:rsidR="00EB696C">
        <w:rPr>
          <w:szCs w:val="20"/>
        </w:rPr>
        <w:t>6-8</w:t>
      </w:r>
      <w:r w:rsidR="00716C8B">
        <w:rPr>
          <w:szCs w:val="20"/>
        </w:rPr>
        <w:t xml:space="preserve"> research-based peer-reviewed journal articles related to their topic that will serve as the basis for the information in their guide. A sample Reference Guide is available on Canvas. </w:t>
      </w:r>
      <w:r w:rsidR="00EB696C">
        <w:rPr>
          <w:szCs w:val="20"/>
        </w:rPr>
        <w:t>A rubric for this assignment, including description of what should be included, will be available on Canvas.</w:t>
      </w:r>
    </w:p>
    <w:p w14:paraId="62C41108" w14:textId="6A74A454" w:rsidR="009A5FEC" w:rsidRPr="00EB696C" w:rsidRDefault="003636AA" w:rsidP="00EB696C">
      <w:pPr>
        <w:numPr>
          <w:ilvl w:val="0"/>
          <w:numId w:val="1"/>
        </w:numPr>
        <w:spacing w:after="120"/>
        <w:ind w:left="360"/>
        <w:rPr>
          <w:szCs w:val="20"/>
        </w:rPr>
      </w:pPr>
      <w:r>
        <w:rPr>
          <w:b/>
          <w:szCs w:val="20"/>
        </w:rPr>
        <w:t>Attachment Case Presentations</w:t>
      </w:r>
      <w:r w:rsidR="009A5FEC" w:rsidRPr="00DB0309">
        <w:rPr>
          <w:b/>
          <w:szCs w:val="20"/>
        </w:rPr>
        <w:t xml:space="preserve"> (20%)</w:t>
      </w:r>
      <w:r w:rsidR="009A5FEC">
        <w:rPr>
          <w:szCs w:val="20"/>
        </w:rPr>
        <w:t xml:space="preserve">. </w:t>
      </w:r>
      <w:r w:rsidR="00EB696C">
        <w:rPr>
          <w:szCs w:val="20"/>
        </w:rPr>
        <w:t>Students will write a 3-</w:t>
      </w:r>
      <w:proofErr w:type="gramStart"/>
      <w:r w:rsidR="00EB696C">
        <w:rPr>
          <w:szCs w:val="20"/>
        </w:rPr>
        <w:t>4 page</w:t>
      </w:r>
      <w:proofErr w:type="gramEnd"/>
      <w:r w:rsidR="00EB696C">
        <w:rPr>
          <w:szCs w:val="20"/>
        </w:rPr>
        <w:t xml:space="preserve"> case study of a client they have worked with</w:t>
      </w:r>
      <w:r w:rsidR="00815416">
        <w:rPr>
          <w:szCs w:val="20"/>
        </w:rPr>
        <w:t xml:space="preserve">, considering </w:t>
      </w:r>
      <w:r w:rsidR="00EB696C">
        <w:rPr>
          <w:szCs w:val="20"/>
        </w:rPr>
        <w:t xml:space="preserve">the information presented in the Clinton &amp; </w:t>
      </w:r>
      <w:proofErr w:type="spellStart"/>
      <w:r w:rsidR="00EB696C">
        <w:rPr>
          <w:szCs w:val="20"/>
        </w:rPr>
        <w:t>Sibcy</w:t>
      </w:r>
      <w:proofErr w:type="spellEnd"/>
      <w:r w:rsidR="00EB696C">
        <w:rPr>
          <w:szCs w:val="20"/>
        </w:rPr>
        <w:t xml:space="preserve"> text. A rubric for this assignment, including description of what should be included in the case study, will be available on Canvas.</w:t>
      </w:r>
    </w:p>
    <w:p w14:paraId="132FDAC5" w14:textId="19AF3214" w:rsidR="00EB696C" w:rsidRPr="00815416" w:rsidRDefault="009A5FEC" w:rsidP="00815416">
      <w:pPr>
        <w:pStyle w:val="ListParagraph"/>
        <w:numPr>
          <w:ilvl w:val="0"/>
          <w:numId w:val="1"/>
        </w:numPr>
        <w:spacing w:after="120"/>
        <w:ind w:left="360"/>
        <w:contextualSpacing w:val="0"/>
      </w:pPr>
      <w:r w:rsidRPr="003636AA">
        <w:rPr>
          <w:b/>
          <w:szCs w:val="20"/>
        </w:rPr>
        <w:t>Final Exam (30%)</w:t>
      </w:r>
      <w:r w:rsidRPr="003636AA">
        <w:rPr>
          <w:szCs w:val="20"/>
        </w:rPr>
        <w:t>. A comprehensive</w:t>
      </w:r>
      <w:r w:rsidR="00815416">
        <w:rPr>
          <w:szCs w:val="20"/>
        </w:rPr>
        <w:t>, take-home</w:t>
      </w:r>
      <w:r w:rsidRPr="003636AA">
        <w:rPr>
          <w:szCs w:val="20"/>
        </w:rPr>
        <w:t xml:space="preserve"> final exam will be given during finals week. </w:t>
      </w:r>
      <w:r w:rsidR="00815416">
        <w:rPr>
          <w:szCs w:val="20"/>
        </w:rPr>
        <w:t>The exam will be a case study that will require students to apply concepts from the Broderick &amp; Blewitt text to the life of an individual. Exam will be distributed via Canvas.</w:t>
      </w:r>
    </w:p>
    <w:p w14:paraId="313CE567" w14:textId="77777777" w:rsidR="00EB696C" w:rsidRDefault="00EB696C" w:rsidP="009A5FEC">
      <w:pPr>
        <w:spacing w:line="276" w:lineRule="auto"/>
        <w:rPr>
          <w:b/>
          <w:sz w:val="28"/>
          <w:szCs w:val="28"/>
        </w:rPr>
      </w:pPr>
    </w:p>
    <w:p w14:paraId="6C40BAF8" w14:textId="7E9EE826" w:rsidR="009A5FEC" w:rsidRPr="00FF173A" w:rsidRDefault="009A5FEC" w:rsidP="009A5FEC">
      <w:pPr>
        <w:spacing w:line="276" w:lineRule="auto"/>
        <w:rPr>
          <w:sz w:val="28"/>
          <w:szCs w:val="28"/>
        </w:rPr>
      </w:pPr>
      <w:r w:rsidRPr="00FF173A">
        <w:rPr>
          <w:b/>
          <w:sz w:val="28"/>
          <w:szCs w:val="28"/>
        </w:rPr>
        <w:t xml:space="preserve">Required </w:t>
      </w:r>
      <w:r>
        <w:rPr>
          <w:b/>
          <w:sz w:val="28"/>
          <w:szCs w:val="28"/>
        </w:rPr>
        <w:t>Materials</w:t>
      </w:r>
      <w:r w:rsidRPr="00FF173A">
        <w:rPr>
          <w:sz w:val="28"/>
          <w:szCs w:val="28"/>
        </w:rPr>
        <w:t xml:space="preserve">: </w:t>
      </w:r>
    </w:p>
    <w:p w14:paraId="29BA590A" w14:textId="71645856" w:rsidR="00C35995" w:rsidRDefault="00FE750E" w:rsidP="00FE750E">
      <w:pPr>
        <w:pStyle w:val="ListParagraph"/>
        <w:numPr>
          <w:ilvl w:val="0"/>
          <w:numId w:val="9"/>
        </w:numPr>
        <w:spacing w:line="276" w:lineRule="auto"/>
        <w:ind w:hanging="720"/>
        <w:rPr>
          <w:szCs w:val="20"/>
        </w:rPr>
      </w:pPr>
      <w:r>
        <w:rPr>
          <w:szCs w:val="20"/>
        </w:rPr>
        <w:t xml:space="preserve">Broderick, P., &amp; Blewitt, P. (2019). </w:t>
      </w:r>
      <w:r>
        <w:rPr>
          <w:i/>
          <w:iCs/>
          <w:szCs w:val="20"/>
        </w:rPr>
        <w:t>The life span: Human development for helping professionals (5</w:t>
      </w:r>
      <w:r w:rsidRPr="00FE750E">
        <w:rPr>
          <w:i/>
          <w:iCs/>
          <w:szCs w:val="20"/>
          <w:vertAlign w:val="superscript"/>
        </w:rPr>
        <w:t>th</w:t>
      </w:r>
      <w:r>
        <w:rPr>
          <w:i/>
          <w:iCs/>
          <w:szCs w:val="20"/>
        </w:rPr>
        <w:t xml:space="preserve"> ed.). </w:t>
      </w:r>
      <w:r>
        <w:rPr>
          <w:szCs w:val="20"/>
        </w:rPr>
        <w:t xml:space="preserve">Pearson. </w:t>
      </w:r>
      <w:r w:rsidRPr="00FE750E">
        <w:rPr>
          <w:szCs w:val="20"/>
        </w:rPr>
        <w:t>ISBN-13: 978-0135227763</w:t>
      </w:r>
    </w:p>
    <w:p w14:paraId="78DA6D95" w14:textId="5E345150" w:rsidR="009A5FEC" w:rsidRDefault="009A5FEC" w:rsidP="00FE750E">
      <w:pPr>
        <w:pStyle w:val="ListParagraph"/>
        <w:numPr>
          <w:ilvl w:val="0"/>
          <w:numId w:val="9"/>
        </w:numPr>
        <w:spacing w:line="276" w:lineRule="auto"/>
        <w:ind w:hanging="720"/>
        <w:rPr>
          <w:szCs w:val="20"/>
        </w:rPr>
      </w:pPr>
      <w:r w:rsidRPr="00C35995">
        <w:rPr>
          <w:szCs w:val="20"/>
        </w:rPr>
        <w:t>Perry, B.</w:t>
      </w:r>
      <w:r w:rsidR="00FE750E">
        <w:rPr>
          <w:szCs w:val="20"/>
        </w:rPr>
        <w:t>,</w:t>
      </w:r>
      <w:r w:rsidRPr="00C35995">
        <w:rPr>
          <w:szCs w:val="20"/>
        </w:rPr>
        <w:t xml:space="preserve"> &amp; Szalavitz, M</w:t>
      </w:r>
      <w:r w:rsidR="00FE750E">
        <w:rPr>
          <w:szCs w:val="20"/>
        </w:rPr>
        <w:t>.</w:t>
      </w:r>
      <w:r w:rsidRPr="00C35995">
        <w:rPr>
          <w:szCs w:val="20"/>
        </w:rPr>
        <w:t xml:space="preserve"> (20</w:t>
      </w:r>
      <w:r w:rsidR="00FE750E">
        <w:rPr>
          <w:szCs w:val="20"/>
        </w:rPr>
        <w:t>1</w:t>
      </w:r>
      <w:r w:rsidRPr="00C35995">
        <w:rPr>
          <w:szCs w:val="20"/>
        </w:rPr>
        <w:t xml:space="preserve">7). </w:t>
      </w:r>
      <w:r w:rsidRPr="00C35995">
        <w:rPr>
          <w:i/>
          <w:iCs/>
          <w:szCs w:val="20"/>
        </w:rPr>
        <w:t xml:space="preserve">The </w:t>
      </w:r>
      <w:r w:rsidR="00C35995">
        <w:rPr>
          <w:i/>
          <w:iCs/>
          <w:szCs w:val="20"/>
        </w:rPr>
        <w:t>b</w:t>
      </w:r>
      <w:r w:rsidRPr="00C35995">
        <w:rPr>
          <w:i/>
          <w:iCs/>
          <w:szCs w:val="20"/>
        </w:rPr>
        <w:t xml:space="preserve">oy </w:t>
      </w:r>
      <w:r w:rsidR="00C35995">
        <w:rPr>
          <w:i/>
          <w:iCs/>
          <w:szCs w:val="20"/>
        </w:rPr>
        <w:t>w</w:t>
      </w:r>
      <w:r w:rsidRPr="00C35995">
        <w:rPr>
          <w:i/>
          <w:iCs/>
          <w:szCs w:val="20"/>
        </w:rPr>
        <w:t xml:space="preserve">ho </w:t>
      </w:r>
      <w:r w:rsidR="00C35995">
        <w:rPr>
          <w:i/>
          <w:iCs/>
          <w:szCs w:val="20"/>
        </w:rPr>
        <w:t>w</w:t>
      </w:r>
      <w:r w:rsidRPr="00C35995">
        <w:rPr>
          <w:i/>
          <w:iCs/>
          <w:szCs w:val="20"/>
        </w:rPr>
        <w:t xml:space="preserve">as </w:t>
      </w:r>
      <w:r w:rsidR="00C35995">
        <w:rPr>
          <w:i/>
          <w:iCs/>
          <w:szCs w:val="20"/>
        </w:rPr>
        <w:t>r</w:t>
      </w:r>
      <w:r w:rsidRPr="00C35995">
        <w:rPr>
          <w:i/>
          <w:iCs/>
          <w:szCs w:val="20"/>
        </w:rPr>
        <w:t xml:space="preserve">aised as a </w:t>
      </w:r>
      <w:r w:rsidR="00C35995">
        <w:rPr>
          <w:i/>
          <w:iCs/>
          <w:szCs w:val="20"/>
        </w:rPr>
        <w:t>d</w:t>
      </w:r>
      <w:r w:rsidRPr="00C35995">
        <w:rPr>
          <w:i/>
          <w:iCs/>
          <w:szCs w:val="20"/>
        </w:rPr>
        <w:t xml:space="preserve">og: And </w:t>
      </w:r>
      <w:r w:rsidR="00C35995">
        <w:rPr>
          <w:i/>
          <w:iCs/>
          <w:szCs w:val="20"/>
        </w:rPr>
        <w:t>o</w:t>
      </w:r>
      <w:r w:rsidRPr="00C35995">
        <w:rPr>
          <w:i/>
          <w:iCs/>
          <w:szCs w:val="20"/>
        </w:rPr>
        <w:t xml:space="preserve">ther </w:t>
      </w:r>
      <w:r w:rsidR="00C35995">
        <w:rPr>
          <w:i/>
          <w:iCs/>
          <w:szCs w:val="20"/>
        </w:rPr>
        <w:t>s</w:t>
      </w:r>
      <w:r w:rsidRPr="00C35995">
        <w:rPr>
          <w:i/>
          <w:iCs/>
          <w:szCs w:val="20"/>
        </w:rPr>
        <w:t xml:space="preserve">tories from a </w:t>
      </w:r>
      <w:r w:rsidR="00C35995">
        <w:rPr>
          <w:i/>
          <w:iCs/>
          <w:szCs w:val="20"/>
        </w:rPr>
        <w:t>c</w:t>
      </w:r>
      <w:r w:rsidRPr="00C35995">
        <w:rPr>
          <w:i/>
          <w:iCs/>
          <w:szCs w:val="20"/>
        </w:rPr>
        <w:t xml:space="preserve">hild </w:t>
      </w:r>
      <w:r w:rsidR="00C35995">
        <w:rPr>
          <w:i/>
          <w:iCs/>
          <w:szCs w:val="20"/>
        </w:rPr>
        <w:t>p</w:t>
      </w:r>
      <w:r w:rsidRPr="00C35995">
        <w:rPr>
          <w:i/>
          <w:iCs/>
          <w:szCs w:val="20"/>
        </w:rPr>
        <w:t xml:space="preserve">sychiatrist's </w:t>
      </w:r>
      <w:r w:rsidR="00C35995">
        <w:rPr>
          <w:i/>
          <w:iCs/>
          <w:szCs w:val="20"/>
        </w:rPr>
        <w:t>n</w:t>
      </w:r>
      <w:r w:rsidRPr="00C35995">
        <w:rPr>
          <w:i/>
          <w:iCs/>
          <w:szCs w:val="20"/>
        </w:rPr>
        <w:t xml:space="preserve">otebook--What </w:t>
      </w:r>
      <w:r w:rsidR="00C35995">
        <w:rPr>
          <w:i/>
          <w:iCs/>
          <w:szCs w:val="20"/>
        </w:rPr>
        <w:t>t</w:t>
      </w:r>
      <w:r w:rsidRPr="00C35995">
        <w:rPr>
          <w:i/>
          <w:iCs/>
          <w:szCs w:val="20"/>
        </w:rPr>
        <w:t xml:space="preserve">raumatized </w:t>
      </w:r>
      <w:r w:rsidR="00C35995">
        <w:rPr>
          <w:i/>
          <w:iCs/>
          <w:szCs w:val="20"/>
        </w:rPr>
        <w:t>c</w:t>
      </w:r>
      <w:r w:rsidRPr="00C35995">
        <w:rPr>
          <w:i/>
          <w:iCs/>
          <w:szCs w:val="20"/>
        </w:rPr>
        <w:t xml:space="preserve">hildren </w:t>
      </w:r>
      <w:r w:rsidR="00C35995">
        <w:rPr>
          <w:i/>
          <w:iCs/>
          <w:szCs w:val="20"/>
        </w:rPr>
        <w:t>c</w:t>
      </w:r>
      <w:r w:rsidRPr="00C35995">
        <w:rPr>
          <w:i/>
          <w:iCs/>
          <w:szCs w:val="20"/>
        </w:rPr>
        <w:t xml:space="preserve">an </w:t>
      </w:r>
      <w:r w:rsidR="00C35995">
        <w:rPr>
          <w:i/>
          <w:iCs/>
          <w:szCs w:val="20"/>
        </w:rPr>
        <w:t>t</w:t>
      </w:r>
      <w:r w:rsidRPr="00C35995">
        <w:rPr>
          <w:i/>
          <w:iCs/>
          <w:szCs w:val="20"/>
        </w:rPr>
        <w:t xml:space="preserve">each </w:t>
      </w:r>
      <w:r w:rsidR="00C35995">
        <w:rPr>
          <w:i/>
          <w:iCs/>
          <w:szCs w:val="20"/>
        </w:rPr>
        <w:t>u</w:t>
      </w:r>
      <w:r w:rsidRPr="00C35995">
        <w:rPr>
          <w:i/>
          <w:iCs/>
          <w:szCs w:val="20"/>
        </w:rPr>
        <w:t xml:space="preserve">s </w:t>
      </w:r>
      <w:r w:rsidR="00C35995">
        <w:rPr>
          <w:i/>
          <w:iCs/>
          <w:szCs w:val="20"/>
        </w:rPr>
        <w:t>a</w:t>
      </w:r>
      <w:r w:rsidRPr="00C35995">
        <w:rPr>
          <w:i/>
          <w:iCs/>
          <w:szCs w:val="20"/>
        </w:rPr>
        <w:t xml:space="preserve">bout </w:t>
      </w:r>
      <w:r w:rsidR="00C35995">
        <w:rPr>
          <w:i/>
          <w:iCs/>
          <w:szCs w:val="20"/>
        </w:rPr>
        <w:t>l</w:t>
      </w:r>
      <w:r w:rsidRPr="00C35995">
        <w:rPr>
          <w:i/>
          <w:iCs/>
          <w:szCs w:val="20"/>
        </w:rPr>
        <w:t xml:space="preserve">oss, </w:t>
      </w:r>
      <w:r w:rsidR="00C35995">
        <w:rPr>
          <w:i/>
          <w:iCs/>
          <w:szCs w:val="20"/>
        </w:rPr>
        <w:t>l</w:t>
      </w:r>
      <w:r w:rsidRPr="00C35995">
        <w:rPr>
          <w:i/>
          <w:iCs/>
          <w:szCs w:val="20"/>
        </w:rPr>
        <w:t xml:space="preserve">ove, and </w:t>
      </w:r>
      <w:r w:rsidR="00C35995">
        <w:rPr>
          <w:i/>
          <w:iCs/>
          <w:szCs w:val="20"/>
        </w:rPr>
        <w:t>h</w:t>
      </w:r>
      <w:r w:rsidRPr="00C35995">
        <w:rPr>
          <w:i/>
          <w:iCs/>
          <w:szCs w:val="20"/>
        </w:rPr>
        <w:t>ealing</w:t>
      </w:r>
      <w:r w:rsidR="00FE750E">
        <w:rPr>
          <w:szCs w:val="20"/>
        </w:rPr>
        <w:t xml:space="preserve"> </w:t>
      </w:r>
      <w:r w:rsidR="00FE750E" w:rsidRPr="00FE750E">
        <w:rPr>
          <w:i/>
          <w:iCs/>
          <w:szCs w:val="20"/>
        </w:rPr>
        <w:t>(3</w:t>
      </w:r>
      <w:r w:rsidR="00FE750E" w:rsidRPr="00FE750E">
        <w:rPr>
          <w:i/>
          <w:iCs/>
          <w:szCs w:val="20"/>
          <w:vertAlign w:val="superscript"/>
        </w:rPr>
        <w:t>rd</w:t>
      </w:r>
      <w:r w:rsidR="00FE750E" w:rsidRPr="00FE750E">
        <w:rPr>
          <w:i/>
          <w:iCs/>
          <w:szCs w:val="20"/>
        </w:rPr>
        <w:t xml:space="preserve"> ed.)</w:t>
      </w:r>
      <w:r w:rsidRPr="00C35995">
        <w:rPr>
          <w:szCs w:val="20"/>
        </w:rPr>
        <w:t xml:space="preserve"> </w:t>
      </w:r>
      <w:r w:rsidR="00FE750E" w:rsidRPr="00FE750E">
        <w:rPr>
          <w:szCs w:val="20"/>
        </w:rPr>
        <w:t>ISBN-13: 978-0465094455</w:t>
      </w:r>
    </w:p>
    <w:p w14:paraId="7003FB11" w14:textId="6DE29306" w:rsidR="00FE750E" w:rsidRPr="00C35995" w:rsidRDefault="00FE750E" w:rsidP="00FE750E">
      <w:pPr>
        <w:pStyle w:val="ListParagraph"/>
        <w:numPr>
          <w:ilvl w:val="0"/>
          <w:numId w:val="9"/>
        </w:numPr>
        <w:spacing w:line="276" w:lineRule="auto"/>
        <w:ind w:hanging="720"/>
        <w:rPr>
          <w:szCs w:val="20"/>
        </w:rPr>
      </w:pPr>
      <w:r>
        <w:rPr>
          <w:szCs w:val="20"/>
        </w:rPr>
        <w:t xml:space="preserve">Clinton, T., &amp; </w:t>
      </w:r>
      <w:proofErr w:type="spellStart"/>
      <w:r>
        <w:rPr>
          <w:szCs w:val="20"/>
        </w:rPr>
        <w:t>Sibcy</w:t>
      </w:r>
      <w:proofErr w:type="spellEnd"/>
      <w:r>
        <w:rPr>
          <w:szCs w:val="20"/>
        </w:rPr>
        <w:t>, G. (2009)</w:t>
      </w:r>
      <w:r w:rsidR="00412630">
        <w:rPr>
          <w:szCs w:val="20"/>
        </w:rPr>
        <w:t>.</w:t>
      </w:r>
      <w:r>
        <w:rPr>
          <w:szCs w:val="20"/>
        </w:rPr>
        <w:t xml:space="preserve"> </w:t>
      </w:r>
      <w:r>
        <w:rPr>
          <w:i/>
          <w:iCs/>
          <w:szCs w:val="20"/>
        </w:rPr>
        <w:t xml:space="preserve">Attachments: Why you love, feel, and act the way you do. </w:t>
      </w:r>
      <w:r w:rsidRPr="00FE750E">
        <w:rPr>
          <w:i/>
          <w:iCs/>
          <w:szCs w:val="20"/>
        </w:rPr>
        <w:t>ISBN-13: 978-0785297376</w:t>
      </w:r>
    </w:p>
    <w:p w14:paraId="6EAAE9CF" w14:textId="77777777" w:rsidR="009A5FEC" w:rsidRPr="009A5FEC" w:rsidRDefault="009A5FEC" w:rsidP="009A5FEC">
      <w:pPr>
        <w:spacing w:line="276" w:lineRule="auto"/>
        <w:rPr>
          <w:b/>
          <w:sz w:val="20"/>
          <w:szCs w:val="20"/>
        </w:rPr>
      </w:pPr>
    </w:p>
    <w:p w14:paraId="2DD88DA1" w14:textId="39509D4D" w:rsidR="009A5FEC" w:rsidRPr="00FF3506" w:rsidRDefault="009A5FEC" w:rsidP="009A5FEC">
      <w:pPr>
        <w:spacing w:line="276" w:lineRule="auto"/>
        <w:rPr>
          <w:sz w:val="28"/>
          <w:szCs w:val="28"/>
        </w:rPr>
      </w:pPr>
      <w:r w:rsidRPr="00FF3506">
        <w:rPr>
          <w:b/>
          <w:sz w:val="28"/>
          <w:szCs w:val="28"/>
        </w:rPr>
        <w:t>Supplemental Materials</w:t>
      </w:r>
      <w:r w:rsidR="00491124">
        <w:rPr>
          <w:b/>
          <w:sz w:val="28"/>
          <w:szCs w:val="28"/>
        </w:rPr>
        <w:t xml:space="preserve"> (</w:t>
      </w:r>
      <w:r w:rsidR="00491124" w:rsidRPr="00491124">
        <w:rPr>
          <w:b/>
          <w:i/>
          <w:iCs/>
          <w:sz w:val="28"/>
          <w:szCs w:val="28"/>
        </w:rPr>
        <w:t>optional</w:t>
      </w:r>
      <w:r w:rsidR="00491124">
        <w:rPr>
          <w:b/>
          <w:sz w:val="28"/>
          <w:szCs w:val="28"/>
        </w:rPr>
        <w:t>)</w:t>
      </w:r>
      <w:r w:rsidRPr="00FF3506">
        <w:rPr>
          <w:sz w:val="28"/>
          <w:szCs w:val="28"/>
        </w:rPr>
        <w:t>:</w:t>
      </w:r>
    </w:p>
    <w:p w14:paraId="092DD58C" w14:textId="77777777" w:rsidR="00EB696C" w:rsidRPr="00491124" w:rsidRDefault="00EB696C" w:rsidP="00EB696C">
      <w:pPr>
        <w:pStyle w:val="ListParagraph"/>
        <w:numPr>
          <w:ilvl w:val="0"/>
          <w:numId w:val="9"/>
        </w:numPr>
        <w:spacing w:line="276" w:lineRule="auto"/>
        <w:ind w:hanging="720"/>
        <w:rPr>
          <w:rFonts w:cstheme="minorHAnsi"/>
          <w:b/>
        </w:rPr>
      </w:pPr>
      <w:r w:rsidRPr="00491124">
        <w:rPr>
          <w:rFonts w:cstheme="minorHAnsi"/>
        </w:rPr>
        <w:t xml:space="preserve">Woods, A. G., Mahdavi, E., &amp; Ryan, J. P. (2013).  Treating clients with Asperger’s syndrome and autism. </w:t>
      </w:r>
      <w:r w:rsidRPr="00491124">
        <w:rPr>
          <w:rFonts w:cstheme="minorHAnsi"/>
          <w:i/>
          <w:iCs/>
        </w:rPr>
        <w:t xml:space="preserve">Child &amp; Adolescent Psychiatry &amp; Mental Health, 7, </w:t>
      </w:r>
      <w:r w:rsidRPr="00491124">
        <w:rPr>
          <w:rFonts w:cstheme="minorHAnsi"/>
        </w:rPr>
        <w:t xml:space="preserve">32. </w:t>
      </w:r>
      <w:proofErr w:type="spellStart"/>
      <w:r w:rsidRPr="00491124">
        <w:rPr>
          <w:rFonts w:cstheme="minorHAnsi"/>
        </w:rPr>
        <w:t>doi</w:t>
      </w:r>
      <w:proofErr w:type="spellEnd"/>
      <w:r w:rsidRPr="00491124">
        <w:rPr>
          <w:rFonts w:cstheme="minorHAnsi"/>
        </w:rPr>
        <w:t>: 10.1186/1753-2000-7-32.</w:t>
      </w:r>
    </w:p>
    <w:p w14:paraId="242D9E2B" w14:textId="589D0DE2" w:rsidR="00491124" w:rsidRPr="00491124" w:rsidRDefault="00491124" w:rsidP="00491124">
      <w:pPr>
        <w:pStyle w:val="ListParagraph"/>
        <w:numPr>
          <w:ilvl w:val="0"/>
          <w:numId w:val="9"/>
        </w:numPr>
        <w:spacing w:line="276" w:lineRule="auto"/>
        <w:ind w:hanging="720"/>
        <w:rPr>
          <w:rFonts w:cstheme="minorHAnsi"/>
          <w:b/>
        </w:rPr>
      </w:pPr>
      <w:r>
        <w:rPr>
          <w:rFonts w:cstheme="minorHAnsi"/>
        </w:rPr>
        <w:t xml:space="preserve">Ray, D. C. (2015). </w:t>
      </w:r>
      <w:r>
        <w:rPr>
          <w:rFonts w:cstheme="minorHAnsi"/>
          <w:i/>
          <w:iCs/>
        </w:rPr>
        <w:t xml:space="preserve">A therapist’s guide to child development: The extraordinarily normal years. </w:t>
      </w:r>
      <w:r>
        <w:rPr>
          <w:rFonts w:cstheme="minorHAnsi"/>
        </w:rPr>
        <w:t xml:space="preserve">Rutledge. </w:t>
      </w:r>
      <w:r w:rsidRPr="00491124">
        <w:rPr>
          <w:rFonts w:cstheme="minorHAnsi"/>
        </w:rPr>
        <w:t>ISBN-13: 978-1138828971</w:t>
      </w:r>
    </w:p>
    <w:p w14:paraId="1E82FAC6" w14:textId="77777777" w:rsidR="00FF173A" w:rsidRPr="00491124" w:rsidRDefault="00FF173A" w:rsidP="00E3579E">
      <w:pPr>
        <w:rPr>
          <w:rFonts w:cstheme="minorHAnsi"/>
          <w:b/>
        </w:rPr>
      </w:pPr>
    </w:p>
    <w:p w14:paraId="66C29F7F" w14:textId="77777777" w:rsidR="00491124" w:rsidRDefault="00491124">
      <w:pPr>
        <w:rPr>
          <w:b/>
          <w:sz w:val="28"/>
          <w:szCs w:val="28"/>
        </w:rPr>
      </w:pPr>
      <w:r>
        <w:rPr>
          <w:b/>
          <w:sz w:val="28"/>
          <w:szCs w:val="28"/>
        </w:rPr>
        <w:br w:type="page"/>
      </w:r>
    </w:p>
    <w:p w14:paraId="21DB330E" w14:textId="694A699D" w:rsidR="000A2401" w:rsidRPr="00BE4864" w:rsidRDefault="000A2401" w:rsidP="00E3579E">
      <w:pPr>
        <w:rPr>
          <w:b/>
          <w:sz w:val="28"/>
          <w:szCs w:val="28"/>
        </w:rPr>
      </w:pPr>
      <w:r w:rsidRPr="00BE4864">
        <w:rPr>
          <w:b/>
          <w:sz w:val="28"/>
          <w:szCs w:val="28"/>
        </w:rPr>
        <w:lastRenderedPageBreak/>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14:paraId="2BA1E737" w14:textId="77777777" w:rsidR="00491124" w:rsidRPr="00937825" w:rsidRDefault="00491124" w:rsidP="00491124">
      <w:pPr>
        <w:rPr>
          <w:rFonts w:cs="Arial"/>
          <w:szCs w:val="24"/>
        </w:rPr>
      </w:pPr>
      <w:r w:rsidRPr="009F57A1">
        <w:rPr>
          <w:rFonts w:cs="Arial"/>
          <w:szCs w:val="24"/>
        </w:rPr>
        <w:t xml:space="preserve">The lecture portions of this course will be taught </w:t>
      </w:r>
      <w:r>
        <w:rPr>
          <w:rFonts w:cs="Arial"/>
          <w:szCs w:val="24"/>
        </w:rPr>
        <w:t>once</w:t>
      </w:r>
      <w:r w:rsidRPr="009F57A1">
        <w:rPr>
          <w:rFonts w:cs="Arial"/>
          <w:szCs w:val="24"/>
        </w:rPr>
        <w:t xml:space="preserve"> weekly</w:t>
      </w:r>
      <w:r>
        <w:rPr>
          <w:rFonts w:cs="Arial"/>
          <w:szCs w:val="24"/>
        </w:rPr>
        <w:t xml:space="preserve"> for three hours</w:t>
      </w:r>
      <w:r w:rsidRPr="009F57A1">
        <w:rPr>
          <w:rFonts w:cs="Arial"/>
          <w:szCs w:val="24"/>
        </w:rPr>
        <w:t xml:space="preserve">. </w:t>
      </w:r>
      <w:r>
        <w:rPr>
          <w:rFonts w:cs="Arial"/>
          <w:szCs w:val="24"/>
        </w:rPr>
        <w:t xml:space="preserve"> </w:t>
      </w:r>
      <w:r w:rsidRPr="009F57A1">
        <w:rPr>
          <w:rFonts w:cs="Arial"/>
          <w:szCs w:val="24"/>
        </w:rPr>
        <w:t xml:space="preserve">It is important that you be prepared when class begins.  </w:t>
      </w:r>
      <w:r w:rsidRPr="009B1225">
        <w:rPr>
          <w:rFonts w:cs="Arial"/>
          <w:b/>
          <w:i/>
          <w:szCs w:val="24"/>
        </w:rPr>
        <w:t>Assigned readings must be completed prior to the start of class</w:t>
      </w:r>
      <w:r w:rsidRPr="009F57A1">
        <w:rPr>
          <w:rFonts w:cs="Arial"/>
          <w:szCs w:val="24"/>
        </w:rPr>
        <w:t>.</w:t>
      </w:r>
      <w:r>
        <w:rPr>
          <w:rFonts w:cs="Arial"/>
          <w:szCs w:val="24"/>
        </w:rPr>
        <w:t xml:space="preserve"> </w:t>
      </w:r>
    </w:p>
    <w:p w14:paraId="356853DD" w14:textId="77777777" w:rsidR="00491124" w:rsidRDefault="00491124" w:rsidP="00491124">
      <w:pPr>
        <w:rPr>
          <w:b/>
          <w:sz w:val="28"/>
          <w:szCs w:val="28"/>
        </w:rPr>
      </w:pPr>
    </w:p>
    <w:tbl>
      <w:tblPr>
        <w:tblStyle w:val="TableGrid"/>
        <w:tblW w:w="0" w:type="auto"/>
        <w:tblInd w:w="85" w:type="dxa"/>
        <w:tblLook w:val="04A0" w:firstRow="1" w:lastRow="0" w:firstColumn="1" w:lastColumn="0" w:noHBand="0" w:noVBand="1"/>
      </w:tblPr>
      <w:tblGrid>
        <w:gridCol w:w="846"/>
        <w:gridCol w:w="746"/>
        <w:gridCol w:w="2720"/>
        <w:gridCol w:w="1628"/>
        <w:gridCol w:w="1710"/>
        <w:gridCol w:w="1714"/>
      </w:tblGrid>
      <w:tr w:rsidR="00491124" w:rsidRPr="009653EB" w14:paraId="1F03DD3C" w14:textId="77777777" w:rsidTr="00A535E3">
        <w:trPr>
          <w:cantSplit/>
          <w:tblHeader/>
        </w:trPr>
        <w:tc>
          <w:tcPr>
            <w:tcW w:w="846" w:type="dxa"/>
            <w:shd w:val="clear" w:color="auto" w:fill="D9D9D9" w:themeFill="background1" w:themeFillShade="D9"/>
          </w:tcPr>
          <w:p w14:paraId="7E660B57" w14:textId="77777777" w:rsidR="00491124" w:rsidRPr="009653EB" w:rsidRDefault="00491124" w:rsidP="00491124">
            <w:pPr>
              <w:jc w:val="center"/>
              <w:rPr>
                <w:b/>
                <w:sz w:val="20"/>
                <w:szCs w:val="20"/>
              </w:rPr>
            </w:pPr>
            <w:r>
              <w:rPr>
                <w:b/>
                <w:sz w:val="20"/>
                <w:szCs w:val="20"/>
              </w:rPr>
              <w:t>Lecture ID</w:t>
            </w:r>
          </w:p>
        </w:tc>
        <w:tc>
          <w:tcPr>
            <w:tcW w:w="746" w:type="dxa"/>
            <w:shd w:val="clear" w:color="auto" w:fill="D9D9D9" w:themeFill="background1" w:themeFillShade="D9"/>
          </w:tcPr>
          <w:p w14:paraId="2BCE0271" w14:textId="77777777" w:rsidR="00491124" w:rsidRPr="00520C70" w:rsidRDefault="00491124" w:rsidP="00491124">
            <w:pPr>
              <w:jc w:val="center"/>
              <w:rPr>
                <w:b/>
                <w:sz w:val="20"/>
                <w:szCs w:val="20"/>
              </w:rPr>
            </w:pPr>
            <w:r w:rsidRPr="00520C70">
              <w:rPr>
                <w:b/>
                <w:sz w:val="20"/>
                <w:szCs w:val="20"/>
              </w:rPr>
              <w:t>Date</w:t>
            </w:r>
          </w:p>
        </w:tc>
        <w:tc>
          <w:tcPr>
            <w:tcW w:w="2720" w:type="dxa"/>
            <w:shd w:val="clear" w:color="auto" w:fill="D9D9D9" w:themeFill="background1" w:themeFillShade="D9"/>
          </w:tcPr>
          <w:p w14:paraId="19406A04" w14:textId="77777777" w:rsidR="00491124" w:rsidRPr="009653EB" w:rsidRDefault="00491124" w:rsidP="00491124">
            <w:pPr>
              <w:rPr>
                <w:b/>
                <w:sz w:val="20"/>
                <w:szCs w:val="20"/>
              </w:rPr>
            </w:pPr>
            <w:r w:rsidRPr="009653EB">
              <w:rPr>
                <w:b/>
                <w:sz w:val="20"/>
                <w:szCs w:val="20"/>
              </w:rPr>
              <w:t>Topic</w:t>
            </w:r>
          </w:p>
        </w:tc>
        <w:tc>
          <w:tcPr>
            <w:tcW w:w="1628" w:type="dxa"/>
            <w:shd w:val="clear" w:color="auto" w:fill="D9D9D9" w:themeFill="background1" w:themeFillShade="D9"/>
          </w:tcPr>
          <w:p w14:paraId="572FE16F" w14:textId="5B667A82" w:rsidR="00491124" w:rsidRPr="009653EB" w:rsidRDefault="00491124" w:rsidP="00491124">
            <w:pPr>
              <w:rPr>
                <w:b/>
                <w:sz w:val="20"/>
                <w:szCs w:val="20"/>
              </w:rPr>
            </w:pPr>
            <w:r w:rsidRPr="009653EB">
              <w:rPr>
                <w:b/>
                <w:sz w:val="20"/>
                <w:szCs w:val="20"/>
              </w:rPr>
              <w:t>Reading Due</w:t>
            </w:r>
          </w:p>
        </w:tc>
        <w:tc>
          <w:tcPr>
            <w:tcW w:w="1710" w:type="dxa"/>
            <w:shd w:val="clear" w:color="auto" w:fill="D9D9D9" w:themeFill="background1" w:themeFillShade="D9"/>
          </w:tcPr>
          <w:p w14:paraId="62E85230" w14:textId="77777777" w:rsidR="00491124" w:rsidRDefault="00491124" w:rsidP="00491124">
            <w:pPr>
              <w:rPr>
                <w:b/>
                <w:sz w:val="20"/>
                <w:szCs w:val="20"/>
              </w:rPr>
            </w:pPr>
            <w:r w:rsidRPr="009653EB">
              <w:rPr>
                <w:b/>
                <w:sz w:val="20"/>
                <w:szCs w:val="20"/>
              </w:rPr>
              <w:t>Assignments Due</w:t>
            </w:r>
          </w:p>
          <w:p w14:paraId="05A5E6BD" w14:textId="77777777" w:rsidR="00491124" w:rsidRPr="005C4A7F" w:rsidRDefault="00491124" w:rsidP="00491124">
            <w:pPr>
              <w:rPr>
                <w:sz w:val="20"/>
                <w:szCs w:val="20"/>
              </w:rPr>
            </w:pPr>
            <w:r w:rsidRPr="00A535E3">
              <w:rPr>
                <w:sz w:val="18"/>
                <w:szCs w:val="18"/>
              </w:rPr>
              <w:t>(due by 11:59pm)</w:t>
            </w:r>
          </w:p>
        </w:tc>
        <w:tc>
          <w:tcPr>
            <w:tcW w:w="1714" w:type="dxa"/>
            <w:shd w:val="clear" w:color="auto" w:fill="D9D9D9" w:themeFill="background1" w:themeFillShade="D9"/>
          </w:tcPr>
          <w:p w14:paraId="48919855" w14:textId="77777777" w:rsidR="00491124" w:rsidRDefault="00491124" w:rsidP="00491124">
            <w:pPr>
              <w:jc w:val="center"/>
              <w:rPr>
                <w:b/>
                <w:sz w:val="20"/>
                <w:szCs w:val="20"/>
              </w:rPr>
            </w:pPr>
            <w:r>
              <w:rPr>
                <w:b/>
                <w:sz w:val="20"/>
                <w:szCs w:val="20"/>
              </w:rPr>
              <w:t>CACREP 2016</w:t>
            </w:r>
          </w:p>
          <w:p w14:paraId="148DCD26" w14:textId="77777777" w:rsidR="00491124" w:rsidRPr="00837936" w:rsidRDefault="00491124" w:rsidP="00491124">
            <w:pPr>
              <w:jc w:val="center"/>
              <w:rPr>
                <w:b/>
                <w:sz w:val="20"/>
                <w:szCs w:val="20"/>
              </w:rPr>
            </w:pPr>
            <w:r>
              <w:rPr>
                <w:b/>
                <w:sz w:val="20"/>
                <w:szCs w:val="20"/>
              </w:rPr>
              <w:t>Standards</w:t>
            </w:r>
          </w:p>
        </w:tc>
      </w:tr>
      <w:tr w:rsidR="003F212E" w:rsidRPr="009653EB" w14:paraId="6F270F33" w14:textId="77777777" w:rsidTr="00A535E3">
        <w:trPr>
          <w:cantSplit/>
        </w:trPr>
        <w:tc>
          <w:tcPr>
            <w:tcW w:w="846" w:type="dxa"/>
            <w:shd w:val="clear" w:color="auto" w:fill="auto"/>
          </w:tcPr>
          <w:p w14:paraId="724B03A3" w14:textId="77777777" w:rsidR="003F212E" w:rsidRDefault="003F212E" w:rsidP="003F212E">
            <w:pPr>
              <w:jc w:val="center"/>
              <w:rPr>
                <w:rFonts w:ascii="Calibri" w:hAnsi="Calibri"/>
                <w:color w:val="000000"/>
                <w:sz w:val="20"/>
                <w:szCs w:val="20"/>
              </w:rPr>
            </w:pPr>
            <w:r>
              <w:rPr>
                <w:rFonts w:ascii="Calibri" w:hAnsi="Calibri"/>
                <w:color w:val="000000"/>
                <w:sz w:val="20"/>
                <w:szCs w:val="20"/>
              </w:rPr>
              <w:t>L1</w:t>
            </w:r>
          </w:p>
        </w:tc>
        <w:tc>
          <w:tcPr>
            <w:tcW w:w="746" w:type="dxa"/>
            <w:shd w:val="clear" w:color="auto" w:fill="auto"/>
          </w:tcPr>
          <w:p w14:paraId="42D770F0" w14:textId="6D0138CA" w:rsidR="003F212E" w:rsidRPr="00520C70" w:rsidRDefault="003F212E" w:rsidP="003F212E">
            <w:pPr>
              <w:jc w:val="center"/>
              <w:rPr>
                <w:rFonts w:ascii="Calibri" w:hAnsi="Calibri"/>
                <w:b/>
                <w:color w:val="000000"/>
                <w:sz w:val="20"/>
                <w:szCs w:val="20"/>
              </w:rPr>
            </w:pPr>
            <w:r w:rsidRPr="00520C70">
              <w:rPr>
                <w:rFonts w:ascii="Calibri" w:hAnsi="Calibri"/>
                <w:b/>
                <w:color w:val="000000"/>
                <w:sz w:val="20"/>
                <w:szCs w:val="20"/>
              </w:rPr>
              <w:t>8/</w:t>
            </w:r>
            <w:r>
              <w:rPr>
                <w:rFonts w:ascii="Calibri" w:hAnsi="Calibri"/>
                <w:b/>
                <w:color w:val="000000"/>
                <w:sz w:val="20"/>
                <w:szCs w:val="20"/>
              </w:rPr>
              <w:t>26</w:t>
            </w:r>
          </w:p>
          <w:p w14:paraId="5E14703E" w14:textId="77777777" w:rsidR="003F212E" w:rsidRPr="00520C70" w:rsidRDefault="003F212E" w:rsidP="003F212E">
            <w:pPr>
              <w:jc w:val="center"/>
              <w:rPr>
                <w:rFonts w:ascii="Calibri" w:hAnsi="Calibri"/>
                <w:b/>
                <w:color w:val="000000"/>
                <w:sz w:val="20"/>
                <w:szCs w:val="20"/>
              </w:rPr>
            </w:pPr>
          </w:p>
        </w:tc>
        <w:tc>
          <w:tcPr>
            <w:tcW w:w="2720" w:type="dxa"/>
          </w:tcPr>
          <w:p w14:paraId="5122D82F" w14:textId="3F5155F7" w:rsidR="003F212E" w:rsidRPr="009B11C5" w:rsidRDefault="003F212E" w:rsidP="003F212E">
            <w:pPr>
              <w:rPr>
                <w:sz w:val="20"/>
                <w:szCs w:val="20"/>
              </w:rPr>
            </w:pPr>
            <w:r>
              <w:rPr>
                <w:sz w:val="20"/>
                <w:szCs w:val="20"/>
              </w:rPr>
              <w:t>1</w:t>
            </w:r>
            <w:r w:rsidRPr="009B11C5">
              <w:rPr>
                <w:sz w:val="20"/>
                <w:szCs w:val="20"/>
              </w:rPr>
              <w:t xml:space="preserve">. </w:t>
            </w:r>
            <w:r>
              <w:rPr>
                <w:sz w:val="20"/>
                <w:szCs w:val="20"/>
              </w:rPr>
              <w:t>Organizing Themes in Development</w:t>
            </w:r>
          </w:p>
        </w:tc>
        <w:tc>
          <w:tcPr>
            <w:tcW w:w="1628" w:type="dxa"/>
          </w:tcPr>
          <w:p w14:paraId="40CC5EDD" w14:textId="68B6438E" w:rsidR="003F212E" w:rsidRPr="009653EB" w:rsidRDefault="003F212E" w:rsidP="003F212E">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1</w:t>
            </w:r>
          </w:p>
        </w:tc>
        <w:tc>
          <w:tcPr>
            <w:tcW w:w="1710" w:type="dxa"/>
          </w:tcPr>
          <w:p w14:paraId="7B600B50" w14:textId="2E97FD0B" w:rsidR="003F212E" w:rsidRPr="009653EB" w:rsidRDefault="003F212E" w:rsidP="003F212E">
            <w:pPr>
              <w:rPr>
                <w:sz w:val="20"/>
                <w:szCs w:val="20"/>
              </w:rPr>
            </w:pPr>
          </w:p>
        </w:tc>
        <w:tc>
          <w:tcPr>
            <w:tcW w:w="1714" w:type="dxa"/>
          </w:tcPr>
          <w:p w14:paraId="2E9F03C2" w14:textId="26390708" w:rsidR="003F212E" w:rsidRDefault="003F212E" w:rsidP="003F212E">
            <w:pPr>
              <w:jc w:val="center"/>
              <w:rPr>
                <w:sz w:val="20"/>
                <w:szCs w:val="20"/>
              </w:rPr>
            </w:pPr>
            <w:r>
              <w:rPr>
                <w:sz w:val="20"/>
              </w:rPr>
              <w:t>2.F.3.a, b</w:t>
            </w:r>
          </w:p>
          <w:p w14:paraId="25600185" w14:textId="77777777" w:rsidR="003F212E" w:rsidRPr="006D5B67" w:rsidRDefault="003F212E" w:rsidP="003F212E">
            <w:pPr>
              <w:jc w:val="center"/>
              <w:rPr>
                <w:sz w:val="20"/>
                <w:szCs w:val="20"/>
              </w:rPr>
            </w:pPr>
          </w:p>
        </w:tc>
      </w:tr>
      <w:tr w:rsidR="00DC59DC" w:rsidRPr="009653EB" w14:paraId="575EEC98" w14:textId="77777777" w:rsidTr="00DC59DC">
        <w:trPr>
          <w:cantSplit/>
        </w:trPr>
        <w:tc>
          <w:tcPr>
            <w:tcW w:w="846" w:type="dxa"/>
            <w:shd w:val="clear" w:color="auto" w:fill="auto"/>
          </w:tcPr>
          <w:p w14:paraId="5095EC82" w14:textId="13315062" w:rsidR="00DC59DC" w:rsidRDefault="00DC59DC" w:rsidP="003F212E">
            <w:pPr>
              <w:jc w:val="center"/>
              <w:rPr>
                <w:rFonts w:ascii="Calibri" w:hAnsi="Calibri"/>
                <w:color w:val="000000"/>
                <w:sz w:val="20"/>
                <w:szCs w:val="20"/>
              </w:rPr>
            </w:pPr>
            <w:r>
              <w:rPr>
                <w:rFonts w:ascii="Calibri" w:hAnsi="Calibri"/>
                <w:color w:val="000000"/>
                <w:sz w:val="20"/>
                <w:szCs w:val="20"/>
              </w:rPr>
              <w:t>L2</w:t>
            </w:r>
          </w:p>
        </w:tc>
        <w:tc>
          <w:tcPr>
            <w:tcW w:w="746" w:type="dxa"/>
            <w:shd w:val="clear" w:color="auto" w:fill="auto"/>
          </w:tcPr>
          <w:p w14:paraId="229F0860" w14:textId="77777777" w:rsidR="00DC59DC" w:rsidRPr="00520C70" w:rsidRDefault="00DC59DC" w:rsidP="003F212E">
            <w:pPr>
              <w:jc w:val="center"/>
              <w:rPr>
                <w:rFonts w:ascii="Calibri" w:hAnsi="Calibri"/>
                <w:b/>
                <w:color w:val="000000"/>
                <w:sz w:val="20"/>
                <w:szCs w:val="20"/>
              </w:rPr>
            </w:pPr>
          </w:p>
        </w:tc>
        <w:tc>
          <w:tcPr>
            <w:tcW w:w="2720" w:type="dxa"/>
            <w:shd w:val="clear" w:color="auto" w:fill="auto"/>
          </w:tcPr>
          <w:p w14:paraId="4A1119D9" w14:textId="5CCB6215" w:rsidR="00DC59DC" w:rsidRDefault="00DC59DC" w:rsidP="003F212E">
            <w:pPr>
              <w:rPr>
                <w:sz w:val="20"/>
                <w:szCs w:val="20"/>
              </w:rPr>
            </w:pPr>
            <w:r>
              <w:rPr>
                <w:sz w:val="20"/>
                <w:szCs w:val="20"/>
              </w:rPr>
              <w:t>2</w:t>
            </w:r>
            <w:r w:rsidRPr="009B11C5">
              <w:rPr>
                <w:sz w:val="20"/>
                <w:szCs w:val="20"/>
              </w:rPr>
              <w:t xml:space="preserve">. </w:t>
            </w:r>
            <w:r>
              <w:rPr>
                <w:sz w:val="20"/>
                <w:szCs w:val="20"/>
              </w:rPr>
              <w:t>Genetics, Epigenetics, and the Brain</w:t>
            </w:r>
          </w:p>
        </w:tc>
        <w:tc>
          <w:tcPr>
            <w:tcW w:w="1628" w:type="dxa"/>
            <w:shd w:val="clear" w:color="auto" w:fill="auto"/>
          </w:tcPr>
          <w:p w14:paraId="0D1984E8" w14:textId="55C92252" w:rsidR="00DC59DC" w:rsidRPr="003F212E" w:rsidRDefault="00DC59DC" w:rsidP="003F212E">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2</w:t>
            </w:r>
          </w:p>
        </w:tc>
        <w:tc>
          <w:tcPr>
            <w:tcW w:w="1710" w:type="dxa"/>
            <w:shd w:val="clear" w:color="auto" w:fill="auto"/>
          </w:tcPr>
          <w:p w14:paraId="270C816A" w14:textId="77777777" w:rsidR="00DC59DC" w:rsidRDefault="00DC59DC" w:rsidP="003F212E">
            <w:pPr>
              <w:rPr>
                <w:sz w:val="20"/>
                <w:szCs w:val="20"/>
              </w:rPr>
            </w:pPr>
          </w:p>
        </w:tc>
        <w:tc>
          <w:tcPr>
            <w:tcW w:w="1714" w:type="dxa"/>
            <w:shd w:val="clear" w:color="auto" w:fill="auto"/>
          </w:tcPr>
          <w:p w14:paraId="25CD7DC6" w14:textId="77777777" w:rsidR="00DC59DC" w:rsidRDefault="00DC59DC" w:rsidP="003F212E">
            <w:pPr>
              <w:jc w:val="center"/>
              <w:rPr>
                <w:sz w:val="20"/>
              </w:rPr>
            </w:pPr>
          </w:p>
        </w:tc>
      </w:tr>
      <w:tr w:rsidR="003F212E" w:rsidRPr="009653EB" w14:paraId="4E604EA3" w14:textId="77777777" w:rsidTr="00A535E3">
        <w:trPr>
          <w:cantSplit/>
        </w:trPr>
        <w:tc>
          <w:tcPr>
            <w:tcW w:w="846" w:type="dxa"/>
            <w:shd w:val="clear" w:color="auto" w:fill="F2F2F2" w:themeFill="background1" w:themeFillShade="F2"/>
          </w:tcPr>
          <w:p w14:paraId="581A7F3D" w14:textId="07591B59" w:rsidR="003F212E" w:rsidRDefault="003F212E" w:rsidP="003F212E">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3</w:t>
            </w:r>
          </w:p>
        </w:tc>
        <w:tc>
          <w:tcPr>
            <w:tcW w:w="746" w:type="dxa"/>
            <w:shd w:val="clear" w:color="auto" w:fill="F2F2F2" w:themeFill="background1" w:themeFillShade="F2"/>
          </w:tcPr>
          <w:p w14:paraId="0B9035FC" w14:textId="715667DE" w:rsidR="003F212E" w:rsidRPr="00520C70" w:rsidRDefault="003F212E" w:rsidP="003F212E">
            <w:pPr>
              <w:jc w:val="center"/>
              <w:rPr>
                <w:rFonts w:ascii="Calibri" w:hAnsi="Calibri"/>
                <w:b/>
                <w:color w:val="000000"/>
                <w:sz w:val="20"/>
                <w:szCs w:val="20"/>
              </w:rPr>
            </w:pPr>
            <w:r w:rsidRPr="00520C70">
              <w:rPr>
                <w:rFonts w:ascii="Calibri" w:hAnsi="Calibri"/>
                <w:b/>
                <w:color w:val="000000"/>
                <w:sz w:val="20"/>
                <w:szCs w:val="20"/>
              </w:rPr>
              <w:t>9/</w:t>
            </w:r>
            <w:r>
              <w:rPr>
                <w:rFonts w:ascii="Calibri" w:hAnsi="Calibri"/>
                <w:b/>
                <w:color w:val="000000"/>
                <w:sz w:val="20"/>
                <w:szCs w:val="20"/>
              </w:rPr>
              <w:t>2</w:t>
            </w:r>
          </w:p>
        </w:tc>
        <w:tc>
          <w:tcPr>
            <w:tcW w:w="2720" w:type="dxa"/>
            <w:shd w:val="clear" w:color="auto" w:fill="F2F2F2" w:themeFill="background1" w:themeFillShade="F2"/>
          </w:tcPr>
          <w:p w14:paraId="0E5F4743" w14:textId="174A4391" w:rsidR="003F212E" w:rsidRPr="009B11C5" w:rsidRDefault="00DC59DC" w:rsidP="003F212E">
            <w:pPr>
              <w:rPr>
                <w:sz w:val="20"/>
                <w:szCs w:val="20"/>
              </w:rPr>
            </w:pPr>
            <w:r>
              <w:rPr>
                <w:sz w:val="20"/>
                <w:szCs w:val="20"/>
              </w:rPr>
              <w:t>3. Cognitive Development in the Early Years</w:t>
            </w:r>
          </w:p>
        </w:tc>
        <w:tc>
          <w:tcPr>
            <w:tcW w:w="1628" w:type="dxa"/>
            <w:shd w:val="clear" w:color="auto" w:fill="F2F2F2" w:themeFill="background1" w:themeFillShade="F2"/>
          </w:tcPr>
          <w:p w14:paraId="783D995F" w14:textId="35D8C29D" w:rsidR="003F212E" w:rsidRPr="009653EB" w:rsidRDefault="00DC59DC" w:rsidP="003F212E">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3</w:t>
            </w:r>
          </w:p>
        </w:tc>
        <w:tc>
          <w:tcPr>
            <w:tcW w:w="1710" w:type="dxa"/>
            <w:shd w:val="clear" w:color="auto" w:fill="F2F2F2" w:themeFill="background1" w:themeFillShade="F2"/>
          </w:tcPr>
          <w:p w14:paraId="6E31CF04" w14:textId="1E7FE53F" w:rsidR="003F212E" w:rsidRPr="009653EB" w:rsidRDefault="003F212E" w:rsidP="003F212E">
            <w:pPr>
              <w:rPr>
                <w:sz w:val="20"/>
                <w:szCs w:val="20"/>
              </w:rPr>
            </w:pPr>
          </w:p>
        </w:tc>
        <w:tc>
          <w:tcPr>
            <w:tcW w:w="1714" w:type="dxa"/>
            <w:shd w:val="clear" w:color="auto" w:fill="F2F2F2" w:themeFill="background1" w:themeFillShade="F2"/>
          </w:tcPr>
          <w:p w14:paraId="07DFAFE3" w14:textId="77777777" w:rsidR="003F212E" w:rsidRDefault="003F212E" w:rsidP="003F212E">
            <w:pPr>
              <w:jc w:val="center"/>
              <w:rPr>
                <w:sz w:val="20"/>
                <w:szCs w:val="20"/>
              </w:rPr>
            </w:pPr>
            <w:proofErr w:type="gramStart"/>
            <w:r>
              <w:rPr>
                <w:sz w:val="20"/>
              </w:rPr>
              <w:t>2.F.3.a,d</w:t>
            </w:r>
            <w:proofErr w:type="gramEnd"/>
            <w:r>
              <w:rPr>
                <w:sz w:val="20"/>
              </w:rPr>
              <w:t>,i</w:t>
            </w:r>
          </w:p>
          <w:p w14:paraId="2B6B4C71" w14:textId="77777777" w:rsidR="003F212E" w:rsidRPr="00837936" w:rsidRDefault="003F212E" w:rsidP="003F212E">
            <w:pPr>
              <w:jc w:val="center"/>
              <w:rPr>
                <w:sz w:val="20"/>
                <w:szCs w:val="20"/>
              </w:rPr>
            </w:pPr>
          </w:p>
        </w:tc>
      </w:tr>
      <w:tr w:rsidR="00DC59DC" w:rsidRPr="009653EB" w14:paraId="4456B7F4" w14:textId="77777777" w:rsidTr="00A535E3">
        <w:trPr>
          <w:cantSplit/>
        </w:trPr>
        <w:tc>
          <w:tcPr>
            <w:tcW w:w="846" w:type="dxa"/>
            <w:shd w:val="clear" w:color="auto" w:fill="F2F2F2" w:themeFill="background1" w:themeFillShade="F2"/>
          </w:tcPr>
          <w:p w14:paraId="4D8F8A72" w14:textId="1A42633A" w:rsidR="00DC59DC" w:rsidRDefault="002960BA" w:rsidP="003F212E">
            <w:pPr>
              <w:jc w:val="center"/>
              <w:rPr>
                <w:rFonts w:ascii="Calibri" w:hAnsi="Calibri"/>
                <w:color w:val="000000"/>
                <w:sz w:val="20"/>
                <w:szCs w:val="20"/>
              </w:rPr>
            </w:pPr>
            <w:r>
              <w:rPr>
                <w:rFonts w:ascii="Calibri" w:hAnsi="Calibri"/>
                <w:color w:val="000000"/>
                <w:sz w:val="20"/>
                <w:szCs w:val="20"/>
              </w:rPr>
              <w:t>L4</w:t>
            </w:r>
          </w:p>
        </w:tc>
        <w:tc>
          <w:tcPr>
            <w:tcW w:w="746" w:type="dxa"/>
            <w:shd w:val="clear" w:color="auto" w:fill="F2F2F2" w:themeFill="background1" w:themeFillShade="F2"/>
          </w:tcPr>
          <w:p w14:paraId="16BF270F" w14:textId="77777777" w:rsidR="00DC59DC" w:rsidRPr="00520C70" w:rsidRDefault="00DC59DC" w:rsidP="003F212E">
            <w:pPr>
              <w:jc w:val="center"/>
              <w:rPr>
                <w:rFonts w:ascii="Calibri" w:hAnsi="Calibri"/>
                <w:b/>
                <w:color w:val="000000"/>
                <w:sz w:val="20"/>
                <w:szCs w:val="20"/>
              </w:rPr>
            </w:pPr>
          </w:p>
        </w:tc>
        <w:tc>
          <w:tcPr>
            <w:tcW w:w="2720" w:type="dxa"/>
            <w:shd w:val="clear" w:color="auto" w:fill="F2F2F2" w:themeFill="background1" w:themeFillShade="F2"/>
          </w:tcPr>
          <w:p w14:paraId="3E4A36A7" w14:textId="0628417B" w:rsidR="00DC59DC" w:rsidRDefault="00DC59DC" w:rsidP="003F212E">
            <w:pPr>
              <w:rPr>
                <w:sz w:val="20"/>
                <w:szCs w:val="20"/>
              </w:rPr>
            </w:pPr>
            <w:r>
              <w:rPr>
                <w:sz w:val="20"/>
                <w:szCs w:val="20"/>
              </w:rPr>
              <w:t xml:space="preserve">4. Emotional &amp; </w:t>
            </w:r>
            <w:r w:rsidR="002960BA">
              <w:rPr>
                <w:sz w:val="20"/>
                <w:szCs w:val="20"/>
              </w:rPr>
              <w:t>Social Development</w:t>
            </w:r>
            <w:r>
              <w:rPr>
                <w:sz w:val="20"/>
                <w:szCs w:val="20"/>
              </w:rPr>
              <w:t xml:space="preserve"> in the Early Years</w:t>
            </w:r>
          </w:p>
        </w:tc>
        <w:tc>
          <w:tcPr>
            <w:tcW w:w="1628" w:type="dxa"/>
            <w:shd w:val="clear" w:color="auto" w:fill="F2F2F2" w:themeFill="background1" w:themeFillShade="F2"/>
          </w:tcPr>
          <w:p w14:paraId="401F7418" w14:textId="4E34CA32" w:rsidR="00DC59DC" w:rsidRPr="003F212E" w:rsidRDefault="00DC59DC" w:rsidP="003F212E">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4</w:t>
            </w:r>
          </w:p>
        </w:tc>
        <w:tc>
          <w:tcPr>
            <w:tcW w:w="1710" w:type="dxa"/>
            <w:shd w:val="clear" w:color="auto" w:fill="F2F2F2" w:themeFill="background1" w:themeFillShade="F2"/>
          </w:tcPr>
          <w:p w14:paraId="11B584E1" w14:textId="77777777" w:rsidR="00DC59DC" w:rsidRPr="009653EB" w:rsidRDefault="00DC59DC" w:rsidP="003F212E">
            <w:pPr>
              <w:rPr>
                <w:sz w:val="20"/>
                <w:szCs w:val="20"/>
              </w:rPr>
            </w:pPr>
          </w:p>
        </w:tc>
        <w:tc>
          <w:tcPr>
            <w:tcW w:w="1714" w:type="dxa"/>
            <w:shd w:val="clear" w:color="auto" w:fill="F2F2F2" w:themeFill="background1" w:themeFillShade="F2"/>
          </w:tcPr>
          <w:p w14:paraId="7BB75C23" w14:textId="77777777" w:rsidR="00DC59DC" w:rsidRDefault="00DC59DC" w:rsidP="003F212E">
            <w:pPr>
              <w:jc w:val="center"/>
              <w:rPr>
                <w:sz w:val="20"/>
              </w:rPr>
            </w:pPr>
          </w:p>
        </w:tc>
      </w:tr>
      <w:tr w:rsidR="003F212E" w:rsidRPr="009653EB" w14:paraId="31836C3A" w14:textId="77777777" w:rsidTr="00A535E3">
        <w:trPr>
          <w:cantSplit/>
        </w:trPr>
        <w:tc>
          <w:tcPr>
            <w:tcW w:w="846" w:type="dxa"/>
            <w:shd w:val="clear" w:color="auto" w:fill="auto"/>
          </w:tcPr>
          <w:p w14:paraId="59E59EAD" w14:textId="3281CE62" w:rsidR="003F212E" w:rsidRDefault="003F212E" w:rsidP="003F212E">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5</w:t>
            </w:r>
          </w:p>
        </w:tc>
        <w:tc>
          <w:tcPr>
            <w:tcW w:w="746" w:type="dxa"/>
            <w:shd w:val="clear" w:color="auto" w:fill="auto"/>
          </w:tcPr>
          <w:p w14:paraId="59053F91" w14:textId="51C47355" w:rsidR="003F212E" w:rsidRPr="00520C70" w:rsidRDefault="003F212E" w:rsidP="003F212E">
            <w:pPr>
              <w:jc w:val="center"/>
              <w:rPr>
                <w:rFonts w:ascii="Calibri" w:hAnsi="Calibri"/>
                <w:b/>
                <w:color w:val="000000"/>
                <w:sz w:val="20"/>
                <w:szCs w:val="20"/>
              </w:rPr>
            </w:pPr>
            <w:r w:rsidRPr="00520C70">
              <w:rPr>
                <w:rFonts w:ascii="Calibri" w:hAnsi="Calibri"/>
                <w:b/>
                <w:color w:val="000000"/>
                <w:sz w:val="20"/>
                <w:szCs w:val="20"/>
              </w:rPr>
              <w:t>9/</w:t>
            </w:r>
            <w:r>
              <w:rPr>
                <w:rFonts w:ascii="Calibri" w:hAnsi="Calibri"/>
                <w:b/>
                <w:color w:val="000000"/>
                <w:sz w:val="20"/>
                <w:szCs w:val="20"/>
              </w:rPr>
              <w:t>9</w:t>
            </w:r>
          </w:p>
        </w:tc>
        <w:tc>
          <w:tcPr>
            <w:tcW w:w="2720" w:type="dxa"/>
          </w:tcPr>
          <w:p w14:paraId="39648D05" w14:textId="5B18E82A" w:rsidR="003F212E" w:rsidRPr="009B11C5" w:rsidRDefault="00DC59DC" w:rsidP="003F212E">
            <w:pPr>
              <w:rPr>
                <w:sz w:val="20"/>
                <w:szCs w:val="20"/>
              </w:rPr>
            </w:pPr>
            <w:r>
              <w:rPr>
                <w:sz w:val="20"/>
                <w:szCs w:val="20"/>
              </w:rPr>
              <w:t>5. The Emerging Self &amp; Socialization in the Early Years</w:t>
            </w:r>
          </w:p>
        </w:tc>
        <w:tc>
          <w:tcPr>
            <w:tcW w:w="1628" w:type="dxa"/>
          </w:tcPr>
          <w:p w14:paraId="6182CF82" w14:textId="650CC624" w:rsidR="003F212E" w:rsidRPr="009653EB" w:rsidRDefault="00DC59DC" w:rsidP="003F212E">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5</w:t>
            </w:r>
          </w:p>
        </w:tc>
        <w:tc>
          <w:tcPr>
            <w:tcW w:w="1710" w:type="dxa"/>
          </w:tcPr>
          <w:p w14:paraId="725F8E22" w14:textId="48D6A4C3" w:rsidR="003F212E" w:rsidRPr="009653EB" w:rsidRDefault="003F212E" w:rsidP="003F212E">
            <w:pPr>
              <w:rPr>
                <w:sz w:val="20"/>
                <w:szCs w:val="20"/>
              </w:rPr>
            </w:pPr>
          </w:p>
        </w:tc>
        <w:tc>
          <w:tcPr>
            <w:tcW w:w="1714" w:type="dxa"/>
          </w:tcPr>
          <w:p w14:paraId="56DC9B5F" w14:textId="77777777" w:rsidR="003F212E" w:rsidRDefault="003F212E" w:rsidP="003F212E">
            <w:pPr>
              <w:jc w:val="center"/>
              <w:rPr>
                <w:sz w:val="20"/>
                <w:szCs w:val="20"/>
              </w:rPr>
            </w:pPr>
            <w:proofErr w:type="gramStart"/>
            <w:r>
              <w:rPr>
                <w:sz w:val="20"/>
              </w:rPr>
              <w:t>2.F.3.a,e</w:t>
            </w:r>
            <w:proofErr w:type="gramEnd"/>
            <w:r>
              <w:rPr>
                <w:sz w:val="20"/>
              </w:rPr>
              <w:t>,i</w:t>
            </w:r>
          </w:p>
          <w:p w14:paraId="68417070" w14:textId="77777777" w:rsidR="003F212E" w:rsidRPr="00837936" w:rsidRDefault="003F212E" w:rsidP="003F212E">
            <w:pPr>
              <w:jc w:val="center"/>
              <w:rPr>
                <w:sz w:val="20"/>
                <w:szCs w:val="20"/>
              </w:rPr>
            </w:pPr>
          </w:p>
        </w:tc>
      </w:tr>
      <w:tr w:rsidR="00DC59DC" w:rsidRPr="009653EB" w14:paraId="20600574" w14:textId="77777777" w:rsidTr="00A535E3">
        <w:trPr>
          <w:cantSplit/>
        </w:trPr>
        <w:tc>
          <w:tcPr>
            <w:tcW w:w="846" w:type="dxa"/>
            <w:shd w:val="clear" w:color="auto" w:fill="auto"/>
          </w:tcPr>
          <w:p w14:paraId="3EB925CE" w14:textId="7C2374DC" w:rsidR="00DC59DC" w:rsidRDefault="002960BA" w:rsidP="003F212E">
            <w:pPr>
              <w:jc w:val="center"/>
              <w:rPr>
                <w:rFonts w:ascii="Calibri" w:hAnsi="Calibri"/>
                <w:color w:val="000000"/>
                <w:sz w:val="20"/>
                <w:szCs w:val="20"/>
              </w:rPr>
            </w:pPr>
            <w:r>
              <w:rPr>
                <w:rFonts w:ascii="Calibri" w:hAnsi="Calibri"/>
                <w:color w:val="000000"/>
                <w:sz w:val="20"/>
                <w:szCs w:val="20"/>
              </w:rPr>
              <w:t>L6</w:t>
            </w:r>
          </w:p>
        </w:tc>
        <w:tc>
          <w:tcPr>
            <w:tcW w:w="746" w:type="dxa"/>
            <w:shd w:val="clear" w:color="auto" w:fill="auto"/>
          </w:tcPr>
          <w:p w14:paraId="5FEC31B1" w14:textId="77777777" w:rsidR="00DC59DC" w:rsidRPr="00520C70" w:rsidRDefault="00DC59DC" w:rsidP="003F212E">
            <w:pPr>
              <w:jc w:val="center"/>
              <w:rPr>
                <w:rFonts w:ascii="Calibri" w:hAnsi="Calibri"/>
                <w:b/>
                <w:color w:val="000000"/>
                <w:sz w:val="20"/>
                <w:szCs w:val="20"/>
              </w:rPr>
            </w:pPr>
          </w:p>
        </w:tc>
        <w:tc>
          <w:tcPr>
            <w:tcW w:w="2720" w:type="dxa"/>
          </w:tcPr>
          <w:p w14:paraId="033B35B0" w14:textId="22589E5C" w:rsidR="00DC59DC" w:rsidRPr="0008604F" w:rsidRDefault="0008604F" w:rsidP="003F212E">
            <w:pPr>
              <w:rPr>
                <w:i/>
                <w:iCs/>
                <w:sz w:val="20"/>
                <w:szCs w:val="20"/>
              </w:rPr>
            </w:pPr>
            <w:r w:rsidRPr="0008604F">
              <w:rPr>
                <w:i/>
                <w:iCs/>
                <w:sz w:val="20"/>
                <w:szCs w:val="20"/>
              </w:rPr>
              <w:t>Counseling</w:t>
            </w:r>
            <w:r w:rsidR="00DC59DC" w:rsidRPr="0008604F">
              <w:rPr>
                <w:i/>
                <w:iCs/>
                <w:sz w:val="20"/>
                <w:szCs w:val="20"/>
              </w:rPr>
              <w:t xml:space="preserve"> Considerations in the Early Years</w:t>
            </w:r>
          </w:p>
        </w:tc>
        <w:tc>
          <w:tcPr>
            <w:tcW w:w="1628" w:type="dxa"/>
          </w:tcPr>
          <w:p w14:paraId="11874103" w14:textId="40FCA86B" w:rsidR="00DC59DC" w:rsidRPr="003F212E" w:rsidRDefault="00DC59DC" w:rsidP="003F212E">
            <w:pPr>
              <w:rPr>
                <w:sz w:val="20"/>
                <w:szCs w:val="20"/>
              </w:rPr>
            </w:pPr>
            <w:r>
              <w:rPr>
                <w:sz w:val="20"/>
                <w:szCs w:val="20"/>
              </w:rPr>
              <w:t xml:space="preserve">Perry, </w:t>
            </w:r>
            <w:proofErr w:type="spellStart"/>
            <w:r>
              <w:rPr>
                <w:sz w:val="20"/>
                <w:szCs w:val="20"/>
              </w:rPr>
              <w:t>Chs</w:t>
            </w:r>
            <w:proofErr w:type="spellEnd"/>
            <w:r>
              <w:rPr>
                <w:sz w:val="20"/>
                <w:szCs w:val="20"/>
              </w:rPr>
              <w:t>. 1-2</w:t>
            </w:r>
          </w:p>
        </w:tc>
        <w:tc>
          <w:tcPr>
            <w:tcW w:w="1710" w:type="dxa"/>
          </w:tcPr>
          <w:p w14:paraId="7EA832BA" w14:textId="77777777" w:rsidR="00A524DA" w:rsidRDefault="0008604F" w:rsidP="003F212E">
            <w:pPr>
              <w:rPr>
                <w:sz w:val="20"/>
                <w:szCs w:val="20"/>
              </w:rPr>
            </w:pPr>
            <w:r>
              <w:rPr>
                <w:sz w:val="20"/>
                <w:szCs w:val="20"/>
              </w:rPr>
              <w:t xml:space="preserve">Quiz 1: </w:t>
            </w:r>
          </w:p>
          <w:p w14:paraId="0CD5B9AE" w14:textId="36D403F2" w:rsidR="00DC59DC" w:rsidRPr="009653EB" w:rsidRDefault="0008604F" w:rsidP="003F212E">
            <w:pPr>
              <w:rPr>
                <w:sz w:val="20"/>
                <w:szCs w:val="20"/>
              </w:rPr>
            </w:pPr>
            <w:r>
              <w:rPr>
                <w:sz w:val="20"/>
                <w:szCs w:val="20"/>
              </w:rPr>
              <w:t>The Early Years</w:t>
            </w:r>
            <w:r w:rsidR="00A524DA">
              <w:rPr>
                <w:sz w:val="20"/>
                <w:szCs w:val="20"/>
              </w:rPr>
              <w:t xml:space="preserve"> (</w:t>
            </w:r>
            <w:proofErr w:type="spellStart"/>
            <w:r w:rsidR="00A524DA">
              <w:rPr>
                <w:sz w:val="20"/>
                <w:szCs w:val="20"/>
              </w:rPr>
              <w:t>Chs</w:t>
            </w:r>
            <w:proofErr w:type="spellEnd"/>
            <w:r w:rsidR="00A524DA">
              <w:rPr>
                <w:sz w:val="20"/>
                <w:szCs w:val="20"/>
              </w:rPr>
              <w:t xml:space="preserve"> 3-5)</w:t>
            </w:r>
          </w:p>
        </w:tc>
        <w:tc>
          <w:tcPr>
            <w:tcW w:w="1714" w:type="dxa"/>
          </w:tcPr>
          <w:p w14:paraId="7E410B6B" w14:textId="77777777" w:rsidR="00DC59DC" w:rsidRDefault="00DC59DC" w:rsidP="003F212E">
            <w:pPr>
              <w:jc w:val="center"/>
              <w:rPr>
                <w:sz w:val="20"/>
              </w:rPr>
            </w:pPr>
          </w:p>
        </w:tc>
      </w:tr>
      <w:tr w:rsidR="003F212E" w:rsidRPr="009653EB" w14:paraId="1C4DEC9A" w14:textId="77777777" w:rsidTr="00A535E3">
        <w:trPr>
          <w:cantSplit/>
        </w:trPr>
        <w:tc>
          <w:tcPr>
            <w:tcW w:w="846" w:type="dxa"/>
            <w:shd w:val="clear" w:color="auto" w:fill="F2F2F2" w:themeFill="background1" w:themeFillShade="F2"/>
          </w:tcPr>
          <w:p w14:paraId="781E0544" w14:textId="3A90DC17" w:rsidR="003F212E" w:rsidRDefault="003F212E" w:rsidP="003F212E">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7</w:t>
            </w:r>
          </w:p>
        </w:tc>
        <w:tc>
          <w:tcPr>
            <w:tcW w:w="746" w:type="dxa"/>
            <w:shd w:val="clear" w:color="auto" w:fill="F2F2F2" w:themeFill="background1" w:themeFillShade="F2"/>
          </w:tcPr>
          <w:p w14:paraId="32BCFB03" w14:textId="7EE2D664" w:rsidR="003F212E" w:rsidRPr="00520C70" w:rsidRDefault="003F212E" w:rsidP="003F212E">
            <w:pPr>
              <w:jc w:val="center"/>
              <w:rPr>
                <w:rFonts w:ascii="Calibri" w:hAnsi="Calibri"/>
                <w:b/>
                <w:color w:val="000000"/>
                <w:sz w:val="20"/>
                <w:szCs w:val="20"/>
              </w:rPr>
            </w:pPr>
            <w:r w:rsidRPr="00520C70">
              <w:rPr>
                <w:rFonts w:ascii="Calibri" w:hAnsi="Calibri"/>
                <w:b/>
                <w:color w:val="000000"/>
                <w:sz w:val="20"/>
                <w:szCs w:val="20"/>
              </w:rPr>
              <w:t>9/</w:t>
            </w:r>
            <w:r>
              <w:rPr>
                <w:rFonts w:ascii="Calibri" w:hAnsi="Calibri"/>
                <w:b/>
                <w:color w:val="000000"/>
                <w:sz w:val="20"/>
                <w:szCs w:val="20"/>
              </w:rPr>
              <w:t>16</w:t>
            </w:r>
          </w:p>
        </w:tc>
        <w:tc>
          <w:tcPr>
            <w:tcW w:w="2720" w:type="dxa"/>
            <w:shd w:val="clear" w:color="auto" w:fill="F2F2F2" w:themeFill="background1" w:themeFillShade="F2"/>
          </w:tcPr>
          <w:p w14:paraId="16F67EEE" w14:textId="23ED6BE0" w:rsidR="003F212E" w:rsidRPr="009B11C5" w:rsidRDefault="00DC59DC" w:rsidP="003F212E">
            <w:pPr>
              <w:rPr>
                <w:sz w:val="20"/>
                <w:szCs w:val="20"/>
              </w:rPr>
            </w:pPr>
            <w:r>
              <w:rPr>
                <w:sz w:val="20"/>
                <w:szCs w:val="20"/>
              </w:rPr>
              <w:t>6</w:t>
            </w:r>
            <w:r w:rsidR="003F212E" w:rsidRPr="009B11C5">
              <w:rPr>
                <w:sz w:val="20"/>
                <w:szCs w:val="20"/>
              </w:rPr>
              <w:t xml:space="preserve">. </w:t>
            </w:r>
            <w:r w:rsidR="0008604F">
              <w:rPr>
                <w:sz w:val="20"/>
                <w:szCs w:val="20"/>
              </w:rPr>
              <w:t>Realms of Cognition in Middle Childhood</w:t>
            </w:r>
          </w:p>
        </w:tc>
        <w:tc>
          <w:tcPr>
            <w:tcW w:w="1628" w:type="dxa"/>
            <w:shd w:val="clear" w:color="auto" w:fill="F2F2F2" w:themeFill="background1" w:themeFillShade="F2"/>
          </w:tcPr>
          <w:p w14:paraId="097025F7" w14:textId="00314A5B" w:rsidR="003F212E" w:rsidRPr="009653EB" w:rsidRDefault="00DC59DC" w:rsidP="003F212E">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08604F">
              <w:rPr>
                <w:sz w:val="20"/>
                <w:szCs w:val="20"/>
              </w:rPr>
              <w:t>6</w:t>
            </w:r>
          </w:p>
        </w:tc>
        <w:tc>
          <w:tcPr>
            <w:tcW w:w="1710" w:type="dxa"/>
            <w:shd w:val="clear" w:color="auto" w:fill="F2F2F2" w:themeFill="background1" w:themeFillShade="F2"/>
          </w:tcPr>
          <w:p w14:paraId="2E6D1C5E" w14:textId="3353BDE1" w:rsidR="003F212E" w:rsidRPr="009653EB" w:rsidRDefault="003F212E" w:rsidP="003F212E">
            <w:pPr>
              <w:rPr>
                <w:sz w:val="20"/>
                <w:szCs w:val="20"/>
              </w:rPr>
            </w:pPr>
          </w:p>
        </w:tc>
        <w:tc>
          <w:tcPr>
            <w:tcW w:w="1714" w:type="dxa"/>
            <w:shd w:val="clear" w:color="auto" w:fill="F2F2F2" w:themeFill="background1" w:themeFillShade="F2"/>
          </w:tcPr>
          <w:p w14:paraId="2AE61F5C" w14:textId="77777777" w:rsidR="003F212E" w:rsidRDefault="003F212E" w:rsidP="003F212E">
            <w:pPr>
              <w:jc w:val="center"/>
              <w:rPr>
                <w:sz w:val="20"/>
                <w:szCs w:val="20"/>
              </w:rPr>
            </w:pPr>
            <w:proofErr w:type="gramStart"/>
            <w:r>
              <w:rPr>
                <w:sz w:val="20"/>
              </w:rPr>
              <w:t>2.F.3.a,f</w:t>
            </w:r>
            <w:proofErr w:type="gramEnd"/>
            <w:r>
              <w:rPr>
                <w:sz w:val="20"/>
              </w:rPr>
              <w:t>,i</w:t>
            </w:r>
          </w:p>
          <w:p w14:paraId="594DE4C3" w14:textId="77777777" w:rsidR="003F212E" w:rsidRDefault="003F212E" w:rsidP="003F212E">
            <w:pPr>
              <w:jc w:val="center"/>
              <w:rPr>
                <w:sz w:val="20"/>
                <w:szCs w:val="20"/>
              </w:rPr>
            </w:pPr>
          </w:p>
        </w:tc>
      </w:tr>
      <w:tr w:rsidR="0008604F" w:rsidRPr="009653EB" w14:paraId="2F63E414" w14:textId="77777777" w:rsidTr="00A535E3">
        <w:trPr>
          <w:cantSplit/>
        </w:trPr>
        <w:tc>
          <w:tcPr>
            <w:tcW w:w="846" w:type="dxa"/>
            <w:shd w:val="clear" w:color="auto" w:fill="F2F2F2" w:themeFill="background1" w:themeFillShade="F2"/>
          </w:tcPr>
          <w:p w14:paraId="64B90C1F" w14:textId="5F380F46" w:rsidR="0008604F" w:rsidRDefault="002960BA" w:rsidP="003F212E">
            <w:pPr>
              <w:jc w:val="center"/>
              <w:rPr>
                <w:rFonts w:ascii="Calibri" w:hAnsi="Calibri"/>
                <w:color w:val="000000"/>
                <w:sz w:val="20"/>
                <w:szCs w:val="20"/>
              </w:rPr>
            </w:pPr>
            <w:r>
              <w:rPr>
                <w:rFonts w:ascii="Calibri" w:hAnsi="Calibri"/>
                <w:color w:val="000000"/>
                <w:sz w:val="20"/>
                <w:szCs w:val="20"/>
              </w:rPr>
              <w:t>L8</w:t>
            </w:r>
          </w:p>
        </w:tc>
        <w:tc>
          <w:tcPr>
            <w:tcW w:w="746" w:type="dxa"/>
            <w:shd w:val="clear" w:color="auto" w:fill="F2F2F2" w:themeFill="background1" w:themeFillShade="F2"/>
          </w:tcPr>
          <w:p w14:paraId="2A12DB1A" w14:textId="77777777" w:rsidR="0008604F" w:rsidRPr="00520C70" w:rsidRDefault="0008604F" w:rsidP="003F212E">
            <w:pPr>
              <w:jc w:val="center"/>
              <w:rPr>
                <w:rFonts w:ascii="Calibri" w:hAnsi="Calibri"/>
                <w:b/>
                <w:color w:val="000000"/>
                <w:sz w:val="20"/>
                <w:szCs w:val="20"/>
              </w:rPr>
            </w:pPr>
          </w:p>
        </w:tc>
        <w:tc>
          <w:tcPr>
            <w:tcW w:w="2720" w:type="dxa"/>
            <w:shd w:val="clear" w:color="auto" w:fill="F2F2F2" w:themeFill="background1" w:themeFillShade="F2"/>
          </w:tcPr>
          <w:p w14:paraId="306C461E" w14:textId="46E8FD08" w:rsidR="0008604F" w:rsidRDefault="0008604F" w:rsidP="003F212E">
            <w:pPr>
              <w:rPr>
                <w:sz w:val="20"/>
                <w:szCs w:val="20"/>
              </w:rPr>
            </w:pPr>
            <w:r>
              <w:rPr>
                <w:sz w:val="20"/>
                <w:szCs w:val="20"/>
              </w:rPr>
              <w:t>7. Self &amp; Moral Development: Middle Childhood Through Early Adolescence</w:t>
            </w:r>
          </w:p>
        </w:tc>
        <w:tc>
          <w:tcPr>
            <w:tcW w:w="1628" w:type="dxa"/>
            <w:shd w:val="clear" w:color="auto" w:fill="F2F2F2" w:themeFill="background1" w:themeFillShade="F2"/>
          </w:tcPr>
          <w:p w14:paraId="44CAC64A" w14:textId="6D80D4DD" w:rsidR="0008604F" w:rsidRPr="003F212E" w:rsidRDefault="0008604F" w:rsidP="003F212E">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7</w:t>
            </w:r>
          </w:p>
        </w:tc>
        <w:tc>
          <w:tcPr>
            <w:tcW w:w="1710" w:type="dxa"/>
            <w:shd w:val="clear" w:color="auto" w:fill="F2F2F2" w:themeFill="background1" w:themeFillShade="F2"/>
          </w:tcPr>
          <w:p w14:paraId="3225D31C" w14:textId="77777777" w:rsidR="0008604F" w:rsidRPr="009653EB" w:rsidRDefault="0008604F" w:rsidP="003F212E">
            <w:pPr>
              <w:rPr>
                <w:sz w:val="20"/>
                <w:szCs w:val="20"/>
              </w:rPr>
            </w:pPr>
          </w:p>
        </w:tc>
        <w:tc>
          <w:tcPr>
            <w:tcW w:w="1714" w:type="dxa"/>
            <w:shd w:val="clear" w:color="auto" w:fill="F2F2F2" w:themeFill="background1" w:themeFillShade="F2"/>
          </w:tcPr>
          <w:p w14:paraId="7020A4EC" w14:textId="77777777" w:rsidR="0008604F" w:rsidRDefault="0008604F" w:rsidP="003F212E">
            <w:pPr>
              <w:jc w:val="center"/>
              <w:rPr>
                <w:sz w:val="20"/>
              </w:rPr>
            </w:pPr>
          </w:p>
        </w:tc>
      </w:tr>
      <w:tr w:rsidR="003F212E" w:rsidRPr="009653EB" w14:paraId="3026B61A" w14:textId="77777777" w:rsidTr="00A535E3">
        <w:trPr>
          <w:cantSplit/>
        </w:trPr>
        <w:tc>
          <w:tcPr>
            <w:tcW w:w="846" w:type="dxa"/>
            <w:shd w:val="clear" w:color="auto" w:fill="auto"/>
          </w:tcPr>
          <w:p w14:paraId="7BED6131" w14:textId="6CAF8F7E" w:rsidR="003F212E" w:rsidRDefault="003F212E" w:rsidP="003F212E">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9</w:t>
            </w:r>
          </w:p>
        </w:tc>
        <w:tc>
          <w:tcPr>
            <w:tcW w:w="746" w:type="dxa"/>
            <w:shd w:val="clear" w:color="auto" w:fill="auto"/>
          </w:tcPr>
          <w:p w14:paraId="5CB689B0" w14:textId="3EF96E21" w:rsidR="003F212E" w:rsidRPr="00520C70" w:rsidRDefault="003F212E" w:rsidP="003F212E">
            <w:pPr>
              <w:jc w:val="center"/>
              <w:rPr>
                <w:rFonts w:ascii="Calibri" w:hAnsi="Calibri"/>
                <w:b/>
                <w:color w:val="000000"/>
                <w:sz w:val="20"/>
                <w:szCs w:val="20"/>
              </w:rPr>
            </w:pPr>
            <w:r w:rsidRPr="00520C70">
              <w:rPr>
                <w:rFonts w:ascii="Calibri" w:hAnsi="Calibri"/>
                <w:b/>
                <w:color w:val="000000"/>
                <w:sz w:val="20"/>
                <w:szCs w:val="20"/>
              </w:rPr>
              <w:t>9/2</w:t>
            </w:r>
            <w:r>
              <w:rPr>
                <w:rFonts w:ascii="Calibri" w:hAnsi="Calibri"/>
                <w:b/>
                <w:color w:val="000000"/>
                <w:sz w:val="20"/>
                <w:szCs w:val="20"/>
              </w:rPr>
              <w:t>3</w:t>
            </w:r>
          </w:p>
        </w:tc>
        <w:tc>
          <w:tcPr>
            <w:tcW w:w="2720" w:type="dxa"/>
          </w:tcPr>
          <w:p w14:paraId="61CD0C90" w14:textId="4DDFAD64" w:rsidR="003F212E" w:rsidRPr="009B11C5" w:rsidRDefault="0008604F" w:rsidP="003F212E">
            <w:pPr>
              <w:rPr>
                <w:sz w:val="20"/>
                <w:szCs w:val="20"/>
              </w:rPr>
            </w:pPr>
            <w:r>
              <w:rPr>
                <w:sz w:val="20"/>
                <w:szCs w:val="20"/>
              </w:rPr>
              <w:t>8</w:t>
            </w:r>
            <w:r w:rsidR="003F212E" w:rsidRPr="009B11C5">
              <w:rPr>
                <w:sz w:val="20"/>
                <w:szCs w:val="20"/>
              </w:rPr>
              <w:t xml:space="preserve">. </w:t>
            </w:r>
            <w:r>
              <w:rPr>
                <w:sz w:val="20"/>
                <w:szCs w:val="20"/>
              </w:rPr>
              <w:t>Gender &amp; Peer Relationships: Middle Childhood Through Early Adolescence</w:t>
            </w:r>
            <w:r w:rsidR="003F212E">
              <w:rPr>
                <w:sz w:val="20"/>
                <w:szCs w:val="20"/>
              </w:rPr>
              <w:t xml:space="preserve"> </w:t>
            </w:r>
          </w:p>
        </w:tc>
        <w:tc>
          <w:tcPr>
            <w:tcW w:w="1628" w:type="dxa"/>
          </w:tcPr>
          <w:p w14:paraId="1267D22C" w14:textId="46DFE68C" w:rsidR="003F212E" w:rsidRPr="009653EB" w:rsidRDefault="00DC59DC" w:rsidP="003F212E">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08604F">
              <w:rPr>
                <w:sz w:val="20"/>
                <w:szCs w:val="20"/>
              </w:rPr>
              <w:t>8</w:t>
            </w:r>
          </w:p>
        </w:tc>
        <w:tc>
          <w:tcPr>
            <w:tcW w:w="1710" w:type="dxa"/>
          </w:tcPr>
          <w:p w14:paraId="171852CC" w14:textId="77777777" w:rsidR="003F212E" w:rsidRPr="009653EB" w:rsidRDefault="003F212E" w:rsidP="00DC59DC">
            <w:pPr>
              <w:rPr>
                <w:sz w:val="20"/>
                <w:szCs w:val="20"/>
              </w:rPr>
            </w:pPr>
          </w:p>
        </w:tc>
        <w:tc>
          <w:tcPr>
            <w:tcW w:w="1714" w:type="dxa"/>
          </w:tcPr>
          <w:p w14:paraId="1B2D2C0F" w14:textId="77777777" w:rsidR="003F212E" w:rsidRDefault="003F212E" w:rsidP="003F212E">
            <w:pPr>
              <w:jc w:val="center"/>
              <w:rPr>
                <w:sz w:val="20"/>
                <w:szCs w:val="20"/>
              </w:rPr>
            </w:pPr>
            <w:proofErr w:type="gramStart"/>
            <w:r>
              <w:rPr>
                <w:sz w:val="20"/>
              </w:rPr>
              <w:t>2.F.3.a,i</w:t>
            </w:r>
            <w:proofErr w:type="gramEnd"/>
          </w:p>
          <w:p w14:paraId="2F000E06" w14:textId="77777777" w:rsidR="003F212E" w:rsidRPr="00837936" w:rsidRDefault="003F212E" w:rsidP="003F212E">
            <w:pPr>
              <w:jc w:val="center"/>
              <w:rPr>
                <w:sz w:val="20"/>
                <w:szCs w:val="20"/>
              </w:rPr>
            </w:pPr>
          </w:p>
        </w:tc>
      </w:tr>
      <w:tr w:rsidR="0008604F" w:rsidRPr="009653EB" w14:paraId="42E51E3C" w14:textId="77777777" w:rsidTr="00A535E3">
        <w:trPr>
          <w:cantSplit/>
        </w:trPr>
        <w:tc>
          <w:tcPr>
            <w:tcW w:w="846" w:type="dxa"/>
            <w:shd w:val="clear" w:color="auto" w:fill="auto"/>
          </w:tcPr>
          <w:p w14:paraId="18A5B8DD" w14:textId="4D88DF0A" w:rsidR="0008604F" w:rsidRDefault="002960BA" w:rsidP="003F212E">
            <w:pPr>
              <w:jc w:val="center"/>
              <w:rPr>
                <w:rFonts w:ascii="Calibri" w:hAnsi="Calibri"/>
                <w:color w:val="000000"/>
                <w:sz w:val="20"/>
                <w:szCs w:val="20"/>
              </w:rPr>
            </w:pPr>
            <w:r>
              <w:rPr>
                <w:rFonts w:ascii="Calibri" w:hAnsi="Calibri"/>
                <w:color w:val="000000"/>
                <w:sz w:val="20"/>
                <w:szCs w:val="20"/>
              </w:rPr>
              <w:t>L10</w:t>
            </w:r>
          </w:p>
        </w:tc>
        <w:tc>
          <w:tcPr>
            <w:tcW w:w="746" w:type="dxa"/>
            <w:shd w:val="clear" w:color="auto" w:fill="auto"/>
          </w:tcPr>
          <w:p w14:paraId="28B1A44B" w14:textId="77777777" w:rsidR="0008604F" w:rsidRPr="00520C70" w:rsidRDefault="0008604F" w:rsidP="003F212E">
            <w:pPr>
              <w:jc w:val="center"/>
              <w:rPr>
                <w:rFonts w:ascii="Calibri" w:hAnsi="Calibri"/>
                <w:b/>
                <w:color w:val="000000"/>
                <w:sz w:val="20"/>
                <w:szCs w:val="20"/>
              </w:rPr>
            </w:pPr>
          </w:p>
        </w:tc>
        <w:tc>
          <w:tcPr>
            <w:tcW w:w="2720" w:type="dxa"/>
          </w:tcPr>
          <w:p w14:paraId="41F898F4" w14:textId="54B92230" w:rsidR="0008604F" w:rsidRDefault="0008604F" w:rsidP="003F212E">
            <w:pPr>
              <w:rPr>
                <w:sz w:val="20"/>
                <w:szCs w:val="20"/>
              </w:rPr>
            </w:pPr>
            <w:r w:rsidRPr="0008604F">
              <w:rPr>
                <w:i/>
                <w:iCs/>
                <w:sz w:val="20"/>
                <w:szCs w:val="20"/>
              </w:rPr>
              <w:t xml:space="preserve">Counseling Considerations in </w:t>
            </w:r>
            <w:r>
              <w:rPr>
                <w:i/>
                <w:iCs/>
                <w:sz w:val="20"/>
                <w:szCs w:val="20"/>
              </w:rPr>
              <w:t>Middle Childhood</w:t>
            </w:r>
          </w:p>
        </w:tc>
        <w:tc>
          <w:tcPr>
            <w:tcW w:w="1628" w:type="dxa"/>
          </w:tcPr>
          <w:p w14:paraId="79109BF5" w14:textId="06B58A7C" w:rsidR="0008604F" w:rsidRPr="003F212E" w:rsidRDefault="00DE3D74" w:rsidP="003F212E">
            <w:pPr>
              <w:rPr>
                <w:sz w:val="20"/>
                <w:szCs w:val="20"/>
              </w:rPr>
            </w:pPr>
            <w:r>
              <w:rPr>
                <w:sz w:val="20"/>
                <w:szCs w:val="20"/>
              </w:rPr>
              <w:t xml:space="preserve">Perry, </w:t>
            </w:r>
            <w:proofErr w:type="spellStart"/>
            <w:r>
              <w:rPr>
                <w:sz w:val="20"/>
                <w:szCs w:val="20"/>
              </w:rPr>
              <w:t>Chs</w:t>
            </w:r>
            <w:proofErr w:type="spellEnd"/>
            <w:r>
              <w:rPr>
                <w:sz w:val="20"/>
                <w:szCs w:val="20"/>
              </w:rPr>
              <w:t>. 3-4</w:t>
            </w:r>
          </w:p>
        </w:tc>
        <w:tc>
          <w:tcPr>
            <w:tcW w:w="1710" w:type="dxa"/>
          </w:tcPr>
          <w:p w14:paraId="70AEAD3F" w14:textId="77777777" w:rsidR="00A524DA" w:rsidRDefault="0008604F" w:rsidP="00DC59DC">
            <w:pPr>
              <w:rPr>
                <w:sz w:val="20"/>
                <w:szCs w:val="20"/>
              </w:rPr>
            </w:pPr>
            <w:r>
              <w:rPr>
                <w:sz w:val="20"/>
                <w:szCs w:val="20"/>
              </w:rPr>
              <w:t xml:space="preserve">Quiz 2: </w:t>
            </w:r>
          </w:p>
          <w:p w14:paraId="0D3C059C" w14:textId="65A471CD" w:rsidR="0008604F" w:rsidRPr="009653EB" w:rsidRDefault="0008604F" w:rsidP="00DC59DC">
            <w:pPr>
              <w:rPr>
                <w:sz w:val="20"/>
                <w:szCs w:val="20"/>
              </w:rPr>
            </w:pPr>
            <w:r>
              <w:rPr>
                <w:sz w:val="20"/>
                <w:szCs w:val="20"/>
              </w:rPr>
              <w:t>Middle Childhood</w:t>
            </w:r>
            <w:r w:rsidR="00A524DA">
              <w:rPr>
                <w:sz w:val="20"/>
                <w:szCs w:val="20"/>
              </w:rPr>
              <w:t xml:space="preserve"> (</w:t>
            </w:r>
            <w:proofErr w:type="spellStart"/>
            <w:r w:rsidR="00A524DA">
              <w:rPr>
                <w:sz w:val="20"/>
                <w:szCs w:val="20"/>
              </w:rPr>
              <w:t>Chs</w:t>
            </w:r>
            <w:proofErr w:type="spellEnd"/>
            <w:r w:rsidR="00A524DA">
              <w:rPr>
                <w:sz w:val="20"/>
                <w:szCs w:val="20"/>
              </w:rPr>
              <w:t xml:space="preserve"> 6-8)</w:t>
            </w:r>
          </w:p>
        </w:tc>
        <w:tc>
          <w:tcPr>
            <w:tcW w:w="1714" w:type="dxa"/>
          </w:tcPr>
          <w:p w14:paraId="52AFF209" w14:textId="77777777" w:rsidR="0008604F" w:rsidRDefault="0008604F" w:rsidP="003F212E">
            <w:pPr>
              <w:jc w:val="center"/>
              <w:rPr>
                <w:sz w:val="20"/>
              </w:rPr>
            </w:pPr>
          </w:p>
        </w:tc>
      </w:tr>
      <w:tr w:rsidR="003F212E" w:rsidRPr="009653EB" w14:paraId="29AFADBB" w14:textId="77777777" w:rsidTr="0008604F">
        <w:trPr>
          <w:cantSplit/>
        </w:trPr>
        <w:tc>
          <w:tcPr>
            <w:tcW w:w="846" w:type="dxa"/>
            <w:shd w:val="clear" w:color="auto" w:fill="F2F2F2" w:themeFill="background1" w:themeFillShade="F2"/>
          </w:tcPr>
          <w:p w14:paraId="7984045A" w14:textId="4A7A94CE" w:rsidR="003F212E" w:rsidRDefault="002960BA" w:rsidP="003F212E">
            <w:pPr>
              <w:jc w:val="center"/>
              <w:rPr>
                <w:rFonts w:ascii="Calibri" w:hAnsi="Calibri"/>
                <w:color w:val="000000"/>
                <w:sz w:val="20"/>
                <w:szCs w:val="20"/>
              </w:rPr>
            </w:pPr>
            <w:r>
              <w:rPr>
                <w:rFonts w:ascii="Calibri" w:hAnsi="Calibri"/>
                <w:color w:val="000000"/>
                <w:sz w:val="20"/>
                <w:szCs w:val="20"/>
              </w:rPr>
              <w:t>L11</w:t>
            </w:r>
          </w:p>
        </w:tc>
        <w:tc>
          <w:tcPr>
            <w:tcW w:w="746" w:type="dxa"/>
            <w:shd w:val="clear" w:color="auto" w:fill="F2F2F2" w:themeFill="background1" w:themeFillShade="F2"/>
          </w:tcPr>
          <w:p w14:paraId="58A7F9BD" w14:textId="0CEF0EE2" w:rsidR="003F212E" w:rsidRPr="00520C70" w:rsidRDefault="003F212E" w:rsidP="003F212E">
            <w:pPr>
              <w:jc w:val="center"/>
              <w:rPr>
                <w:rFonts w:ascii="Calibri" w:hAnsi="Calibri"/>
                <w:b/>
                <w:color w:val="000000"/>
                <w:sz w:val="20"/>
                <w:szCs w:val="20"/>
              </w:rPr>
            </w:pPr>
            <w:r>
              <w:rPr>
                <w:rFonts w:ascii="Calibri" w:hAnsi="Calibri"/>
                <w:b/>
                <w:color w:val="000000"/>
                <w:sz w:val="20"/>
                <w:szCs w:val="20"/>
              </w:rPr>
              <w:t>9/30</w:t>
            </w:r>
          </w:p>
        </w:tc>
        <w:tc>
          <w:tcPr>
            <w:tcW w:w="2720" w:type="dxa"/>
            <w:shd w:val="clear" w:color="auto" w:fill="F2F2F2" w:themeFill="background1" w:themeFillShade="F2"/>
          </w:tcPr>
          <w:p w14:paraId="3F24AA0B" w14:textId="45002114" w:rsidR="003F212E" w:rsidRPr="009B11C5" w:rsidRDefault="0008604F" w:rsidP="003F212E">
            <w:pPr>
              <w:rPr>
                <w:sz w:val="20"/>
                <w:szCs w:val="20"/>
              </w:rPr>
            </w:pPr>
            <w:r>
              <w:rPr>
                <w:sz w:val="20"/>
                <w:szCs w:val="20"/>
              </w:rPr>
              <w:t xml:space="preserve">9. Physical Cognitive, and Identity Development in Adolescence </w:t>
            </w:r>
          </w:p>
        </w:tc>
        <w:tc>
          <w:tcPr>
            <w:tcW w:w="1628" w:type="dxa"/>
            <w:shd w:val="clear" w:color="auto" w:fill="F2F2F2" w:themeFill="background1" w:themeFillShade="F2"/>
          </w:tcPr>
          <w:p w14:paraId="7C9C2E6D" w14:textId="5AEDAC23" w:rsidR="003F212E" w:rsidRPr="009B11C5" w:rsidRDefault="00DC59DC" w:rsidP="003F212E">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08604F">
              <w:rPr>
                <w:sz w:val="20"/>
                <w:szCs w:val="20"/>
              </w:rPr>
              <w:t>9</w:t>
            </w:r>
          </w:p>
        </w:tc>
        <w:tc>
          <w:tcPr>
            <w:tcW w:w="1710" w:type="dxa"/>
            <w:shd w:val="clear" w:color="auto" w:fill="F2F2F2" w:themeFill="background1" w:themeFillShade="F2"/>
          </w:tcPr>
          <w:p w14:paraId="0EAE01EA" w14:textId="7949EC2A" w:rsidR="003F212E" w:rsidRPr="00A437EB" w:rsidRDefault="003F212E" w:rsidP="003F212E">
            <w:pPr>
              <w:rPr>
                <w:b/>
                <w:sz w:val="20"/>
                <w:szCs w:val="20"/>
              </w:rPr>
            </w:pPr>
          </w:p>
        </w:tc>
        <w:tc>
          <w:tcPr>
            <w:tcW w:w="1714" w:type="dxa"/>
            <w:shd w:val="clear" w:color="auto" w:fill="F2F2F2" w:themeFill="background1" w:themeFillShade="F2"/>
          </w:tcPr>
          <w:p w14:paraId="448C1A4A" w14:textId="77777777" w:rsidR="003F212E" w:rsidRDefault="003F212E" w:rsidP="003F212E">
            <w:pPr>
              <w:jc w:val="center"/>
              <w:rPr>
                <w:sz w:val="20"/>
                <w:szCs w:val="20"/>
              </w:rPr>
            </w:pPr>
            <w:proofErr w:type="gramStart"/>
            <w:r>
              <w:rPr>
                <w:sz w:val="20"/>
              </w:rPr>
              <w:t>2.F.3.a,e</w:t>
            </w:r>
            <w:proofErr w:type="gramEnd"/>
            <w:r>
              <w:rPr>
                <w:sz w:val="20"/>
              </w:rPr>
              <w:t>,i</w:t>
            </w:r>
          </w:p>
          <w:p w14:paraId="4DD97022" w14:textId="77777777" w:rsidR="003F212E" w:rsidRDefault="003F212E" w:rsidP="003F212E">
            <w:pPr>
              <w:jc w:val="center"/>
              <w:rPr>
                <w:sz w:val="20"/>
                <w:szCs w:val="20"/>
              </w:rPr>
            </w:pPr>
          </w:p>
        </w:tc>
      </w:tr>
      <w:tr w:rsidR="0008604F" w:rsidRPr="009653EB" w14:paraId="32E45CE3" w14:textId="77777777" w:rsidTr="0008604F">
        <w:trPr>
          <w:cantSplit/>
        </w:trPr>
        <w:tc>
          <w:tcPr>
            <w:tcW w:w="846" w:type="dxa"/>
            <w:shd w:val="clear" w:color="auto" w:fill="F2F2F2" w:themeFill="background1" w:themeFillShade="F2"/>
          </w:tcPr>
          <w:p w14:paraId="40E36449" w14:textId="7DA20BF7" w:rsidR="0008604F" w:rsidRDefault="002960BA" w:rsidP="003F212E">
            <w:pPr>
              <w:jc w:val="center"/>
              <w:rPr>
                <w:rFonts w:ascii="Calibri" w:hAnsi="Calibri"/>
                <w:color w:val="000000"/>
                <w:sz w:val="20"/>
                <w:szCs w:val="20"/>
              </w:rPr>
            </w:pPr>
            <w:r>
              <w:rPr>
                <w:rFonts w:ascii="Calibri" w:hAnsi="Calibri"/>
                <w:color w:val="000000"/>
                <w:sz w:val="20"/>
                <w:szCs w:val="20"/>
              </w:rPr>
              <w:t>L12</w:t>
            </w:r>
          </w:p>
        </w:tc>
        <w:tc>
          <w:tcPr>
            <w:tcW w:w="746" w:type="dxa"/>
            <w:shd w:val="clear" w:color="auto" w:fill="F2F2F2" w:themeFill="background1" w:themeFillShade="F2"/>
          </w:tcPr>
          <w:p w14:paraId="6E8B26AC" w14:textId="77777777" w:rsidR="0008604F" w:rsidRDefault="0008604F" w:rsidP="003F212E">
            <w:pPr>
              <w:jc w:val="center"/>
              <w:rPr>
                <w:rFonts w:ascii="Calibri" w:hAnsi="Calibri"/>
                <w:b/>
                <w:color w:val="000000"/>
                <w:sz w:val="20"/>
                <w:szCs w:val="20"/>
              </w:rPr>
            </w:pPr>
          </w:p>
        </w:tc>
        <w:tc>
          <w:tcPr>
            <w:tcW w:w="2720" w:type="dxa"/>
            <w:shd w:val="clear" w:color="auto" w:fill="F2F2F2" w:themeFill="background1" w:themeFillShade="F2"/>
          </w:tcPr>
          <w:p w14:paraId="6B5792BC" w14:textId="1922D985" w:rsidR="0008604F" w:rsidRDefault="00DE3D74" w:rsidP="003F212E">
            <w:pPr>
              <w:rPr>
                <w:sz w:val="20"/>
                <w:szCs w:val="20"/>
              </w:rPr>
            </w:pPr>
            <w:r w:rsidRPr="0008604F">
              <w:rPr>
                <w:i/>
                <w:iCs/>
                <w:sz w:val="20"/>
                <w:szCs w:val="20"/>
              </w:rPr>
              <w:t xml:space="preserve">Counseling Considerations in </w:t>
            </w:r>
            <w:r>
              <w:rPr>
                <w:i/>
                <w:iCs/>
                <w:sz w:val="20"/>
                <w:szCs w:val="20"/>
              </w:rPr>
              <w:t>Adolescence</w:t>
            </w:r>
          </w:p>
        </w:tc>
        <w:tc>
          <w:tcPr>
            <w:tcW w:w="1628" w:type="dxa"/>
            <w:shd w:val="clear" w:color="auto" w:fill="F2F2F2" w:themeFill="background1" w:themeFillShade="F2"/>
          </w:tcPr>
          <w:p w14:paraId="19A5390D" w14:textId="35A51463" w:rsidR="0008604F" w:rsidRPr="003F212E" w:rsidRDefault="00DE3D74" w:rsidP="003F212E">
            <w:pPr>
              <w:rPr>
                <w:sz w:val="20"/>
                <w:szCs w:val="20"/>
              </w:rPr>
            </w:pPr>
            <w:r>
              <w:rPr>
                <w:sz w:val="20"/>
                <w:szCs w:val="20"/>
              </w:rPr>
              <w:t xml:space="preserve">Perry, </w:t>
            </w:r>
            <w:proofErr w:type="spellStart"/>
            <w:r>
              <w:rPr>
                <w:sz w:val="20"/>
                <w:szCs w:val="20"/>
              </w:rPr>
              <w:t>Chs</w:t>
            </w:r>
            <w:proofErr w:type="spellEnd"/>
            <w:r>
              <w:rPr>
                <w:sz w:val="20"/>
                <w:szCs w:val="20"/>
              </w:rPr>
              <w:t>. 5-6</w:t>
            </w:r>
          </w:p>
        </w:tc>
        <w:tc>
          <w:tcPr>
            <w:tcW w:w="1710" w:type="dxa"/>
            <w:shd w:val="clear" w:color="auto" w:fill="F2F2F2" w:themeFill="background1" w:themeFillShade="F2"/>
          </w:tcPr>
          <w:p w14:paraId="728A59D9" w14:textId="77777777" w:rsidR="0008604F" w:rsidRPr="00A437EB" w:rsidRDefault="0008604F" w:rsidP="003F212E">
            <w:pPr>
              <w:rPr>
                <w:b/>
                <w:sz w:val="20"/>
                <w:szCs w:val="20"/>
              </w:rPr>
            </w:pPr>
          </w:p>
        </w:tc>
        <w:tc>
          <w:tcPr>
            <w:tcW w:w="1714" w:type="dxa"/>
            <w:shd w:val="clear" w:color="auto" w:fill="F2F2F2" w:themeFill="background1" w:themeFillShade="F2"/>
          </w:tcPr>
          <w:p w14:paraId="40A5C787" w14:textId="77777777" w:rsidR="0008604F" w:rsidRDefault="0008604F" w:rsidP="003F212E">
            <w:pPr>
              <w:jc w:val="center"/>
              <w:rPr>
                <w:sz w:val="20"/>
              </w:rPr>
            </w:pPr>
          </w:p>
        </w:tc>
      </w:tr>
      <w:tr w:rsidR="0008604F" w:rsidRPr="009653EB" w14:paraId="2902CBEF" w14:textId="77777777" w:rsidTr="0008604F">
        <w:trPr>
          <w:cantSplit/>
        </w:trPr>
        <w:tc>
          <w:tcPr>
            <w:tcW w:w="846" w:type="dxa"/>
            <w:shd w:val="clear" w:color="auto" w:fill="FFFFFF" w:themeFill="background1"/>
          </w:tcPr>
          <w:p w14:paraId="4DCD8236" w14:textId="57F3847A" w:rsidR="0008604F" w:rsidRDefault="002960BA" w:rsidP="0008604F">
            <w:pPr>
              <w:jc w:val="center"/>
              <w:rPr>
                <w:rFonts w:ascii="Calibri" w:hAnsi="Calibri"/>
                <w:color w:val="000000"/>
                <w:sz w:val="20"/>
                <w:szCs w:val="20"/>
              </w:rPr>
            </w:pPr>
            <w:r>
              <w:rPr>
                <w:rFonts w:ascii="Calibri" w:hAnsi="Calibri"/>
                <w:color w:val="000000"/>
                <w:sz w:val="20"/>
                <w:szCs w:val="20"/>
              </w:rPr>
              <w:t>L13</w:t>
            </w:r>
          </w:p>
        </w:tc>
        <w:tc>
          <w:tcPr>
            <w:tcW w:w="746" w:type="dxa"/>
            <w:shd w:val="clear" w:color="auto" w:fill="FFFFFF" w:themeFill="background1"/>
          </w:tcPr>
          <w:p w14:paraId="600935CB" w14:textId="23C3008A"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10/</w:t>
            </w:r>
            <w:r>
              <w:rPr>
                <w:rFonts w:ascii="Calibri" w:hAnsi="Calibri"/>
                <w:b/>
                <w:color w:val="000000"/>
                <w:sz w:val="20"/>
                <w:szCs w:val="20"/>
              </w:rPr>
              <w:t>7</w:t>
            </w:r>
          </w:p>
          <w:p w14:paraId="5C61A754" w14:textId="77777777" w:rsidR="0008604F" w:rsidRPr="00520C70" w:rsidRDefault="0008604F" w:rsidP="0008604F">
            <w:pPr>
              <w:jc w:val="center"/>
              <w:rPr>
                <w:rFonts w:ascii="Calibri" w:hAnsi="Calibri"/>
                <w:b/>
                <w:color w:val="000000"/>
                <w:sz w:val="20"/>
                <w:szCs w:val="20"/>
              </w:rPr>
            </w:pPr>
          </w:p>
        </w:tc>
        <w:tc>
          <w:tcPr>
            <w:tcW w:w="2720" w:type="dxa"/>
            <w:shd w:val="clear" w:color="auto" w:fill="FFFFFF" w:themeFill="background1"/>
          </w:tcPr>
          <w:p w14:paraId="295D21A6" w14:textId="0A53DE65" w:rsidR="0008604F" w:rsidRPr="009B11C5" w:rsidRDefault="0008604F" w:rsidP="0008604F">
            <w:pPr>
              <w:rPr>
                <w:sz w:val="20"/>
                <w:szCs w:val="20"/>
              </w:rPr>
            </w:pPr>
            <w:r>
              <w:rPr>
                <w:sz w:val="20"/>
                <w:szCs w:val="20"/>
              </w:rPr>
              <w:t>10. The Social World of Adolescence</w:t>
            </w:r>
          </w:p>
        </w:tc>
        <w:tc>
          <w:tcPr>
            <w:tcW w:w="1628" w:type="dxa"/>
            <w:shd w:val="clear" w:color="auto" w:fill="FFFFFF" w:themeFill="background1"/>
          </w:tcPr>
          <w:p w14:paraId="74E0B8DD" w14:textId="3BC4F9CB" w:rsidR="0008604F" w:rsidRPr="009653EB" w:rsidRDefault="0008604F" w:rsidP="0008604F">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Ch. 10</w:t>
            </w:r>
          </w:p>
        </w:tc>
        <w:tc>
          <w:tcPr>
            <w:tcW w:w="1710" w:type="dxa"/>
            <w:shd w:val="clear" w:color="auto" w:fill="FFFFFF" w:themeFill="background1"/>
          </w:tcPr>
          <w:p w14:paraId="6C20F523" w14:textId="77777777" w:rsidR="0008604F" w:rsidRPr="009653EB" w:rsidRDefault="0008604F" w:rsidP="0008604F">
            <w:pPr>
              <w:rPr>
                <w:sz w:val="20"/>
                <w:szCs w:val="20"/>
              </w:rPr>
            </w:pPr>
          </w:p>
        </w:tc>
        <w:tc>
          <w:tcPr>
            <w:tcW w:w="1714" w:type="dxa"/>
            <w:shd w:val="clear" w:color="auto" w:fill="FFFFFF" w:themeFill="background1"/>
          </w:tcPr>
          <w:p w14:paraId="47692D7C" w14:textId="77777777" w:rsidR="0008604F" w:rsidRPr="005C7EAD" w:rsidRDefault="0008604F" w:rsidP="0008604F">
            <w:pPr>
              <w:jc w:val="center"/>
              <w:rPr>
                <w:rFonts w:eastAsia="Times New Roman" w:cstheme="minorHAnsi"/>
                <w:color w:val="21282D"/>
                <w:sz w:val="20"/>
                <w:szCs w:val="20"/>
              </w:rPr>
            </w:pPr>
          </w:p>
        </w:tc>
      </w:tr>
      <w:tr w:rsidR="0008604F" w:rsidRPr="009653EB" w14:paraId="60662B65" w14:textId="77777777" w:rsidTr="0008604F">
        <w:trPr>
          <w:cantSplit/>
        </w:trPr>
        <w:tc>
          <w:tcPr>
            <w:tcW w:w="846" w:type="dxa"/>
            <w:shd w:val="clear" w:color="auto" w:fill="FFFFFF" w:themeFill="background1"/>
          </w:tcPr>
          <w:p w14:paraId="1B2B6C15" w14:textId="637E1D98" w:rsidR="0008604F" w:rsidRDefault="002960BA" w:rsidP="0008604F">
            <w:pPr>
              <w:jc w:val="center"/>
              <w:rPr>
                <w:rFonts w:ascii="Calibri" w:hAnsi="Calibri"/>
                <w:color w:val="000000"/>
                <w:sz w:val="20"/>
                <w:szCs w:val="20"/>
              </w:rPr>
            </w:pPr>
            <w:r>
              <w:rPr>
                <w:rFonts w:ascii="Calibri" w:hAnsi="Calibri"/>
                <w:color w:val="000000"/>
                <w:sz w:val="20"/>
                <w:szCs w:val="20"/>
              </w:rPr>
              <w:t>L14</w:t>
            </w:r>
          </w:p>
        </w:tc>
        <w:tc>
          <w:tcPr>
            <w:tcW w:w="746" w:type="dxa"/>
            <w:shd w:val="clear" w:color="auto" w:fill="FFFFFF" w:themeFill="background1"/>
          </w:tcPr>
          <w:p w14:paraId="6BDE242A" w14:textId="77777777" w:rsidR="0008604F" w:rsidRPr="00520C70" w:rsidRDefault="0008604F" w:rsidP="0008604F">
            <w:pPr>
              <w:jc w:val="center"/>
              <w:rPr>
                <w:rFonts w:ascii="Calibri" w:hAnsi="Calibri"/>
                <w:b/>
                <w:color w:val="000000"/>
                <w:sz w:val="20"/>
                <w:szCs w:val="20"/>
              </w:rPr>
            </w:pPr>
          </w:p>
        </w:tc>
        <w:tc>
          <w:tcPr>
            <w:tcW w:w="2720" w:type="dxa"/>
            <w:shd w:val="clear" w:color="auto" w:fill="FFFFFF" w:themeFill="background1"/>
          </w:tcPr>
          <w:p w14:paraId="441E447C" w14:textId="011CFC86" w:rsidR="0008604F" w:rsidRDefault="00DE3D74" w:rsidP="0008604F">
            <w:pPr>
              <w:rPr>
                <w:sz w:val="20"/>
                <w:szCs w:val="20"/>
              </w:rPr>
            </w:pPr>
            <w:r w:rsidRPr="0008604F">
              <w:rPr>
                <w:i/>
                <w:iCs/>
                <w:sz w:val="20"/>
                <w:szCs w:val="20"/>
              </w:rPr>
              <w:t xml:space="preserve">Counseling Considerations in </w:t>
            </w:r>
            <w:r>
              <w:rPr>
                <w:i/>
                <w:iCs/>
                <w:sz w:val="20"/>
                <w:szCs w:val="20"/>
              </w:rPr>
              <w:t>Adolescence</w:t>
            </w:r>
          </w:p>
        </w:tc>
        <w:tc>
          <w:tcPr>
            <w:tcW w:w="1628" w:type="dxa"/>
            <w:shd w:val="clear" w:color="auto" w:fill="FFFFFF" w:themeFill="background1"/>
          </w:tcPr>
          <w:p w14:paraId="5836322C" w14:textId="1F72062B" w:rsidR="0008604F" w:rsidRDefault="00DE3D74" w:rsidP="0008604F">
            <w:pPr>
              <w:rPr>
                <w:sz w:val="20"/>
                <w:szCs w:val="20"/>
              </w:rPr>
            </w:pPr>
            <w:r>
              <w:rPr>
                <w:sz w:val="20"/>
                <w:szCs w:val="20"/>
              </w:rPr>
              <w:t xml:space="preserve">Perry, </w:t>
            </w:r>
            <w:proofErr w:type="spellStart"/>
            <w:r>
              <w:rPr>
                <w:sz w:val="20"/>
                <w:szCs w:val="20"/>
              </w:rPr>
              <w:t>Chs</w:t>
            </w:r>
            <w:proofErr w:type="spellEnd"/>
            <w:r>
              <w:rPr>
                <w:sz w:val="20"/>
                <w:szCs w:val="20"/>
              </w:rPr>
              <w:t>. 7-8</w:t>
            </w:r>
          </w:p>
        </w:tc>
        <w:tc>
          <w:tcPr>
            <w:tcW w:w="1710" w:type="dxa"/>
            <w:shd w:val="clear" w:color="auto" w:fill="FFFFFF" w:themeFill="background1"/>
          </w:tcPr>
          <w:p w14:paraId="25D8F65E" w14:textId="77777777" w:rsidR="0008604F" w:rsidRDefault="00DE3D74" w:rsidP="0008604F">
            <w:pPr>
              <w:rPr>
                <w:sz w:val="20"/>
                <w:szCs w:val="20"/>
              </w:rPr>
            </w:pPr>
            <w:r>
              <w:rPr>
                <w:sz w:val="20"/>
                <w:szCs w:val="20"/>
              </w:rPr>
              <w:t>Quiz 3: Adolescence</w:t>
            </w:r>
          </w:p>
          <w:p w14:paraId="322F95C1" w14:textId="64B022F0" w:rsidR="00A524DA" w:rsidRPr="009653EB" w:rsidRDefault="00A524DA" w:rsidP="0008604F">
            <w:pPr>
              <w:rPr>
                <w:sz w:val="20"/>
                <w:szCs w:val="20"/>
              </w:rPr>
            </w:pPr>
            <w:r>
              <w:rPr>
                <w:sz w:val="20"/>
                <w:szCs w:val="20"/>
              </w:rPr>
              <w:t>(</w:t>
            </w:r>
            <w:proofErr w:type="spellStart"/>
            <w:r>
              <w:rPr>
                <w:sz w:val="20"/>
                <w:szCs w:val="20"/>
              </w:rPr>
              <w:t>Chs</w:t>
            </w:r>
            <w:proofErr w:type="spellEnd"/>
            <w:r>
              <w:rPr>
                <w:sz w:val="20"/>
                <w:szCs w:val="20"/>
              </w:rPr>
              <w:t xml:space="preserve"> 9-10)</w:t>
            </w:r>
          </w:p>
        </w:tc>
        <w:tc>
          <w:tcPr>
            <w:tcW w:w="1714" w:type="dxa"/>
            <w:shd w:val="clear" w:color="auto" w:fill="FFFFFF" w:themeFill="background1"/>
          </w:tcPr>
          <w:p w14:paraId="6690E9CC" w14:textId="77777777" w:rsidR="0008604F" w:rsidRPr="005C7EAD" w:rsidRDefault="0008604F" w:rsidP="0008604F">
            <w:pPr>
              <w:jc w:val="center"/>
              <w:rPr>
                <w:rFonts w:eastAsia="Times New Roman" w:cstheme="minorHAnsi"/>
                <w:color w:val="21282D"/>
                <w:sz w:val="20"/>
                <w:szCs w:val="20"/>
              </w:rPr>
            </w:pPr>
          </w:p>
        </w:tc>
      </w:tr>
      <w:tr w:rsidR="0008604F" w:rsidRPr="009653EB" w14:paraId="38473E6E" w14:textId="77777777" w:rsidTr="00A535E3">
        <w:trPr>
          <w:cantSplit/>
        </w:trPr>
        <w:tc>
          <w:tcPr>
            <w:tcW w:w="846" w:type="dxa"/>
            <w:shd w:val="clear" w:color="auto" w:fill="BFBFBF" w:themeFill="background1" w:themeFillShade="BF"/>
          </w:tcPr>
          <w:p w14:paraId="45AB30A4" w14:textId="77777777" w:rsidR="0008604F" w:rsidRDefault="0008604F" w:rsidP="0008604F">
            <w:pPr>
              <w:jc w:val="center"/>
              <w:rPr>
                <w:rFonts w:ascii="Calibri" w:hAnsi="Calibri"/>
                <w:color w:val="000000"/>
                <w:sz w:val="20"/>
                <w:szCs w:val="20"/>
              </w:rPr>
            </w:pPr>
          </w:p>
        </w:tc>
        <w:tc>
          <w:tcPr>
            <w:tcW w:w="746" w:type="dxa"/>
            <w:shd w:val="clear" w:color="auto" w:fill="BFBFBF" w:themeFill="background1" w:themeFillShade="BF"/>
          </w:tcPr>
          <w:p w14:paraId="5375E848" w14:textId="0FAAF4A0"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10/1</w:t>
            </w:r>
            <w:r>
              <w:rPr>
                <w:rFonts w:ascii="Calibri" w:hAnsi="Calibri"/>
                <w:b/>
                <w:color w:val="000000"/>
                <w:sz w:val="20"/>
                <w:szCs w:val="20"/>
              </w:rPr>
              <w:t>4</w:t>
            </w:r>
          </w:p>
        </w:tc>
        <w:tc>
          <w:tcPr>
            <w:tcW w:w="2720" w:type="dxa"/>
            <w:shd w:val="clear" w:color="auto" w:fill="BFBFBF" w:themeFill="background1" w:themeFillShade="BF"/>
          </w:tcPr>
          <w:p w14:paraId="6D5CF0CA" w14:textId="77777777" w:rsidR="0008604F" w:rsidRPr="003F0670" w:rsidRDefault="0008604F" w:rsidP="0008604F">
            <w:pPr>
              <w:rPr>
                <w:b/>
                <w:sz w:val="20"/>
                <w:szCs w:val="20"/>
              </w:rPr>
            </w:pPr>
            <w:r w:rsidRPr="003F0670">
              <w:rPr>
                <w:b/>
                <w:sz w:val="20"/>
                <w:szCs w:val="20"/>
              </w:rPr>
              <w:t>Reading Week</w:t>
            </w:r>
          </w:p>
        </w:tc>
        <w:tc>
          <w:tcPr>
            <w:tcW w:w="1628" w:type="dxa"/>
            <w:shd w:val="clear" w:color="auto" w:fill="BFBFBF" w:themeFill="background1" w:themeFillShade="BF"/>
          </w:tcPr>
          <w:p w14:paraId="218E5F09" w14:textId="77777777" w:rsidR="0008604F" w:rsidRPr="009653EB" w:rsidRDefault="0008604F" w:rsidP="0008604F">
            <w:pPr>
              <w:rPr>
                <w:rFonts w:ascii="Calibri" w:hAnsi="Calibri"/>
                <w:color w:val="000000"/>
                <w:sz w:val="20"/>
                <w:szCs w:val="20"/>
              </w:rPr>
            </w:pPr>
          </w:p>
        </w:tc>
        <w:tc>
          <w:tcPr>
            <w:tcW w:w="1710" w:type="dxa"/>
            <w:shd w:val="clear" w:color="auto" w:fill="BFBFBF" w:themeFill="background1" w:themeFillShade="BF"/>
          </w:tcPr>
          <w:p w14:paraId="6DE0943D" w14:textId="77777777" w:rsidR="0008604F" w:rsidRPr="009653EB" w:rsidRDefault="0008604F" w:rsidP="0008604F">
            <w:pPr>
              <w:rPr>
                <w:sz w:val="20"/>
                <w:szCs w:val="20"/>
              </w:rPr>
            </w:pPr>
          </w:p>
        </w:tc>
        <w:tc>
          <w:tcPr>
            <w:tcW w:w="1714" w:type="dxa"/>
            <w:shd w:val="clear" w:color="auto" w:fill="BFBFBF" w:themeFill="background1" w:themeFillShade="BF"/>
          </w:tcPr>
          <w:p w14:paraId="5BA3DC4C" w14:textId="77777777" w:rsidR="0008604F" w:rsidRDefault="0008604F" w:rsidP="0008604F">
            <w:pPr>
              <w:jc w:val="center"/>
              <w:rPr>
                <w:sz w:val="20"/>
                <w:szCs w:val="20"/>
              </w:rPr>
            </w:pPr>
          </w:p>
        </w:tc>
      </w:tr>
      <w:tr w:rsidR="0008604F" w:rsidRPr="009653EB" w14:paraId="18CA78A5" w14:textId="77777777" w:rsidTr="00A535E3">
        <w:trPr>
          <w:cantSplit/>
        </w:trPr>
        <w:tc>
          <w:tcPr>
            <w:tcW w:w="846" w:type="dxa"/>
            <w:shd w:val="clear" w:color="auto" w:fill="F2F2F2" w:themeFill="background1" w:themeFillShade="F2"/>
          </w:tcPr>
          <w:p w14:paraId="69419FD0" w14:textId="236DC1E4" w:rsidR="0008604F" w:rsidRDefault="002960BA" w:rsidP="0008604F">
            <w:pPr>
              <w:jc w:val="center"/>
              <w:rPr>
                <w:rFonts w:ascii="Calibri" w:hAnsi="Calibri"/>
                <w:color w:val="000000"/>
                <w:sz w:val="20"/>
                <w:szCs w:val="20"/>
              </w:rPr>
            </w:pPr>
            <w:r>
              <w:rPr>
                <w:rFonts w:ascii="Calibri" w:hAnsi="Calibri"/>
                <w:color w:val="000000"/>
                <w:sz w:val="20"/>
                <w:szCs w:val="20"/>
              </w:rPr>
              <w:t>L15</w:t>
            </w:r>
          </w:p>
        </w:tc>
        <w:tc>
          <w:tcPr>
            <w:tcW w:w="746" w:type="dxa"/>
            <w:shd w:val="clear" w:color="auto" w:fill="F2F2F2" w:themeFill="background1" w:themeFillShade="F2"/>
          </w:tcPr>
          <w:p w14:paraId="159CDEE2" w14:textId="2B20FEE0"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10/2</w:t>
            </w:r>
            <w:r>
              <w:rPr>
                <w:rFonts w:ascii="Calibri" w:hAnsi="Calibri"/>
                <w:b/>
                <w:color w:val="000000"/>
                <w:sz w:val="20"/>
                <w:szCs w:val="20"/>
              </w:rPr>
              <w:t>1</w:t>
            </w:r>
          </w:p>
        </w:tc>
        <w:tc>
          <w:tcPr>
            <w:tcW w:w="2720" w:type="dxa"/>
            <w:shd w:val="clear" w:color="auto" w:fill="F2F2F2" w:themeFill="background1" w:themeFillShade="F2"/>
          </w:tcPr>
          <w:p w14:paraId="3E1F424B" w14:textId="607BC3C1" w:rsidR="0008604F" w:rsidRPr="009B11C5" w:rsidRDefault="00DE3D74" w:rsidP="0008604F">
            <w:pPr>
              <w:rPr>
                <w:sz w:val="20"/>
                <w:szCs w:val="20"/>
              </w:rPr>
            </w:pPr>
            <w:r>
              <w:rPr>
                <w:sz w:val="20"/>
                <w:szCs w:val="20"/>
              </w:rPr>
              <w:t xml:space="preserve">Guest Speaker: </w:t>
            </w:r>
            <w:r w:rsidR="00EB696C" w:rsidRPr="00EB696C">
              <w:rPr>
                <w:sz w:val="20"/>
                <w:szCs w:val="20"/>
              </w:rPr>
              <w:t>Alice Baker MSRD</w:t>
            </w:r>
            <w:r w:rsidR="00EB696C">
              <w:rPr>
                <w:sz w:val="20"/>
                <w:szCs w:val="20"/>
              </w:rPr>
              <w:t>,</w:t>
            </w:r>
            <w:r w:rsidR="00EB696C" w:rsidRPr="00EB696C">
              <w:rPr>
                <w:sz w:val="20"/>
                <w:szCs w:val="20"/>
              </w:rPr>
              <w:t xml:space="preserve"> CEDRD-S</w:t>
            </w:r>
            <w:r w:rsidR="00EB696C">
              <w:rPr>
                <w:sz w:val="20"/>
                <w:szCs w:val="20"/>
              </w:rPr>
              <w:t>,</w:t>
            </w:r>
            <w:r w:rsidR="00EB696C" w:rsidRPr="00EB696C">
              <w:rPr>
                <w:sz w:val="20"/>
                <w:szCs w:val="20"/>
              </w:rPr>
              <w:t xml:space="preserve"> LMHC</w:t>
            </w:r>
            <w:r w:rsidR="00EB696C">
              <w:rPr>
                <w:sz w:val="20"/>
                <w:szCs w:val="20"/>
              </w:rPr>
              <w:t>,</w:t>
            </w:r>
            <w:r w:rsidR="00EB696C" w:rsidRPr="00EB696C">
              <w:rPr>
                <w:sz w:val="20"/>
                <w:szCs w:val="20"/>
              </w:rPr>
              <w:t xml:space="preserve"> LDN</w:t>
            </w:r>
            <w:r w:rsidR="00EB696C">
              <w:rPr>
                <w:sz w:val="20"/>
                <w:szCs w:val="20"/>
              </w:rPr>
              <w:t xml:space="preserve"> – Health at Every Size Across the Lifespan</w:t>
            </w:r>
          </w:p>
        </w:tc>
        <w:tc>
          <w:tcPr>
            <w:tcW w:w="1628" w:type="dxa"/>
            <w:shd w:val="clear" w:color="auto" w:fill="F2F2F2" w:themeFill="background1" w:themeFillShade="F2"/>
          </w:tcPr>
          <w:p w14:paraId="503F07F1" w14:textId="2E4CEFC4" w:rsidR="0008604F" w:rsidRPr="009B11C5" w:rsidRDefault="002960BA" w:rsidP="0008604F">
            <w:pPr>
              <w:rPr>
                <w:sz w:val="20"/>
                <w:szCs w:val="20"/>
              </w:rPr>
            </w:pPr>
            <w:r>
              <w:rPr>
                <w:sz w:val="20"/>
                <w:szCs w:val="20"/>
              </w:rPr>
              <w:t>Readings on Canvas</w:t>
            </w:r>
          </w:p>
        </w:tc>
        <w:tc>
          <w:tcPr>
            <w:tcW w:w="1710" w:type="dxa"/>
            <w:shd w:val="clear" w:color="auto" w:fill="F2F2F2" w:themeFill="background1" w:themeFillShade="F2"/>
          </w:tcPr>
          <w:p w14:paraId="1D209A72" w14:textId="49AA5C27" w:rsidR="0008604F" w:rsidRPr="009653EB" w:rsidRDefault="0008604F" w:rsidP="0008604F">
            <w:pPr>
              <w:rPr>
                <w:sz w:val="20"/>
                <w:szCs w:val="20"/>
              </w:rPr>
            </w:pPr>
          </w:p>
        </w:tc>
        <w:tc>
          <w:tcPr>
            <w:tcW w:w="1714" w:type="dxa"/>
            <w:shd w:val="clear" w:color="auto" w:fill="F2F2F2" w:themeFill="background1" w:themeFillShade="F2"/>
          </w:tcPr>
          <w:p w14:paraId="06D1BE7D" w14:textId="77777777" w:rsidR="0008604F" w:rsidRDefault="0008604F" w:rsidP="0008604F">
            <w:pPr>
              <w:jc w:val="center"/>
              <w:rPr>
                <w:sz w:val="20"/>
                <w:szCs w:val="20"/>
              </w:rPr>
            </w:pPr>
            <w:proofErr w:type="gramStart"/>
            <w:r>
              <w:rPr>
                <w:sz w:val="20"/>
              </w:rPr>
              <w:t>2.F.3.a,f</w:t>
            </w:r>
            <w:proofErr w:type="gramEnd"/>
            <w:r>
              <w:rPr>
                <w:sz w:val="20"/>
              </w:rPr>
              <w:t>,i</w:t>
            </w:r>
          </w:p>
          <w:p w14:paraId="3785884B" w14:textId="77777777" w:rsidR="0008604F" w:rsidRDefault="0008604F" w:rsidP="0008604F">
            <w:pPr>
              <w:jc w:val="center"/>
              <w:rPr>
                <w:sz w:val="20"/>
                <w:szCs w:val="20"/>
              </w:rPr>
            </w:pPr>
          </w:p>
        </w:tc>
      </w:tr>
      <w:tr w:rsidR="00DE3D74" w:rsidRPr="009653EB" w14:paraId="06258F3F" w14:textId="77777777" w:rsidTr="00A535E3">
        <w:trPr>
          <w:cantSplit/>
        </w:trPr>
        <w:tc>
          <w:tcPr>
            <w:tcW w:w="846" w:type="dxa"/>
            <w:shd w:val="clear" w:color="auto" w:fill="F2F2F2" w:themeFill="background1" w:themeFillShade="F2"/>
          </w:tcPr>
          <w:p w14:paraId="06665C6B" w14:textId="77777777" w:rsidR="00DE3D74" w:rsidRDefault="00DE3D74" w:rsidP="0008604F">
            <w:pPr>
              <w:jc w:val="center"/>
              <w:rPr>
                <w:rFonts w:ascii="Calibri" w:hAnsi="Calibri"/>
                <w:color w:val="000000"/>
                <w:sz w:val="20"/>
                <w:szCs w:val="20"/>
              </w:rPr>
            </w:pPr>
          </w:p>
        </w:tc>
        <w:tc>
          <w:tcPr>
            <w:tcW w:w="746" w:type="dxa"/>
            <w:shd w:val="clear" w:color="auto" w:fill="F2F2F2" w:themeFill="background1" w:themeFillShade="F2"/>
          </w:tcPr>
          <w:p w14:paraId="1FF42ECB" w14:textId="77777777" w:rsidR="00DE3D74" w:rsidRPr="00520C70" w:rsidRDefault="00DE3D74" w:rsidP="0008604F">
            <w:pPr>
              <w:jc w:val="center"/>
              <w:rPr>
                <w:rFonts w:ascii="Calibri" w:hAnsi="Calibri"/>
                <w:b/>
                <w:color w:val="000000"/>
                <w:sz w:val="20"/>
                <w:szCs w:val="20"/>
              </w:rPr>
            </w:pPr>
          </w:p>
        </w:tc>
        <w:tc>
          <w:tcPr>
            <w:tcW w:w="2720" w:type="dxa"/>
            <w:shd w:val="clear" w:color="auto" w:fill="F2F2F2" w:themeFill="background1" w:themeFillShade="F2"/>
          </w:tcPr>
          <w:p w14:paraId="75B3E4E1" w14:textId="77777777" w:rsidR="00DE3D74" w:rsidRDefault="00DE3D74" w:rsidP="0008604F">
            <w:pPr>
              <w:rPr>
                <w:sz w:val="20"/>
                <w:szCs w:val="20"/>
              </w:rPr>
            </w:pPr>
          </w:p>
        </w:tc>
        <w:tc>
          <w:tcPr>
            <w:tcW w:w="1628" w:type="dxa"/>
            <w:shd w:val="clear" w:color="auto" w:fill="F2F2F2" w:themeFill="background1" w:themeFillShade="F2"/>
          </w:tcPr>
          <w:p w14:paraId="1160825A" w14:textId="5FA33ECA" w:rsidR="00DE3D74" w:rsidRPr="003F212E" w:rsidRDefault="00DE3D74" w:rsidP="0008604F">
            <w:pPr>
              <w:rPr>
                <w:sz w:val="20"/>
                <w:szCs w:val="20"/>
              </w:rPr>
            </w:pPr>
            <w:r>
              <w:rPr>
                <w:sz w:val="20"/>
                <w:szCs w:val="20"/>
              </w:rPr>
              <w:t xml:space="preserve">Perry, </w:t>
            </w:r>
            <w:proofErr w:type="spellStart"/>
            <w:r>
              <w:rPr>
                <w:sz w:val="20"/>
                <w:szCs w:val="20"/>
              </w:rPr>
              <w:t>Chs</w:t>
            </w:r>
            <w:proofErr w:type="spellEnd"/>
            <w:r>
              <w:rPr>
                <w:sz w:val="20"/>
                <w:szCs w:val="20"/>
              </w:rPr>
              <w:t>. 9-10</w:t>
            </w:r>
          </w:p>
        </w:tc>
        <w:tc>
          <w:tcPr>
            <w:tcW w:w="1710" w:type="dxa"/>
            <w:shd w:val="clear" w:color="auto" w:fill="F2F2F2" w:themeFill="background1" w:themeFillShade="F2"/>
          </w:tcPr>
          <w:p w14:paraId="3E757EDA" w14:textId="070F238E" w:rsidR="00DE3D74" w:rsidRDefault="00815416" w:rsidP="0008604F">
            <w:pPr>
              <w:rPr>
                <w:sz w:val="20"/>
                <w:szCs w:val="20"/>
              </w:rPr>
            </w:pPr>
            <w:r>
              <w:rPr>
                <w:sz w:val="20"/>
                <w:szCs w:val="20"/>
              </w:rPr>
              <w:t>Counselor Guides due (by 11:59pm)</w:t>
            </w:r>
          </w:p>
        </w:tc>
        <w:tc>
          <w:tcPr>
            <w:tcW w:w="1714" w:type="dxa"/>
            <w:shd w:val="clear" w:color="auto" w:fill="F2F2F2" w:themeFill="background1" w:themeFillShade="F2"/>
          </w:tcPr>
          <w:p w14:paraId="3C9047F6" w14:textId="77777777" w:rsidR="00DE3D74" w:rsidRDefault="00DE3D74" w:rsidP="0008604F">
            <w:pPr>
              <w:jc w:val="center"/>
              <w:rPr>
                <w:sz w:val="20"/>
              </w:rPr>
            </w:pPr>
          </w:p>
        </w:tc>
      </w:tr>
      <w:tr w:rsidR="0008604F" w:rsidRPr="009653EB" w14:paraId="0CD0D98E" w14:textId="77777777" w:rsidTr="00A535E3">
        <w:trPr>
          <w:cantSplit/>
        </w:trPr>
        <w:tc>
          <w:tcPr>
            <w:tcW w:w="846" w:type="dxa"/>
            <w:shd w:val="clear" w:color="auto" w:fill="auto"/>
          </w:tcPr>
          <w:p w14:paraId="1DB04875" w14:textId="286F039F" w:rsidR="0008604F" w:rsidRDefault="0008604F" w:rsidP="0008604F">
            <w:pPr>
              <w:jc w:val="center"/>
              <w:rPr>
                <w:rFonts w:ascii="Calibri" w:hAnsi="Calibri"/>
                <w:color w:val="000000"/>
                <w:sz w:val="20"/>
                <w:szCs w:val="20"/>
              </w:rPr>
            </w:pPr>
            <w:r>
              <w:rPr>
                <w:rFonts w:ascii="Calibri" w:hAnsi="Calibri"/>
                <w:color w:val="000000"/>
                <w:sz w:val="20"/>
                <w:szCs w:val="20"/>
              </w:rPr>
              <w:lastRenderedPageBreak/>
              <w:t>L</w:t>
            </w:r>
            <w:r w:rsidR="002960BA">
              <w:rPr>
                <w:rFonts w:ascii="Calibri" w:hAnsi="Calibri"/>
                <w:color w:val="000000"/>
                <w:sz w:val="20"/>
                <w:szCs w:val="20"/>
              </w:rPr>
              <w:t>16</w:t>
            </w:r>
          </w:p>
        </w:tc>
        <w:tc>
          <w:tcPr>
            <w:tcW w:w="746" w:type="dxa"/>
            <w:shd w:val="clear" w:color="auto" w:fill="auto"/>
          </w:tcPr>
          <w:p w14:paraId="0ED8743F" w14:textId="68FF3281"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10/</w:t>
            </w:r>
            <w:r>
              <w:rPr>
                <w:rFonts w:ascii="Calibri" w:hAnsi="Calibri"/>
                <w:b/>
                <w:color w:val="000000"/>
                <w:sz w:val="20"/>
                <w:szCs w:val="20"/>
              </w:rPr>
              <w:t>28</w:t>
            </w:r>
          </w:p>
        </w:tc>
        <w:tc>
          <w:tcPr>
            <w:tcW w:w="2720" w:type="dxa"/>
            <w:shd w:val="clear" w:color="auto" w:fill="auto"/>
          </w:tcPr>
          <w:p w14:paraId="20F040CC" w14:textId="55E07930" w:rsidR="0008604F" w:rsidRPr="009B11C5" w:rsidRDefault="00DE3D74" w:rsidP="0008604F">
            <w:pPr>
              <w:rPr>
                <w:sz w:val="20"/>
                <w:szCs w:val="20"/>
              </w:rPr>
            </w:pPr>
            <w:r>
              <w:rPr>
                <w:sz w:val="20"/>
                <w:szCs w:val="20"/>
              </w:rPr>
              <w:t>11. Physical and Cognitive Development in Young Adulthood</w:t>
            </w:r>
          </w:p>
        </w:tc>
        <w:tc>
          <w:tcPr>
            <w:tcW w:w="1628" w:type="dxa"/>
            <w:shd w:val="clear" w:color="auto" w:fill="auto"/>
          </w:tcPr>
          <w:p w14:paraId="3BF29685" w14:textId="482A2796" w:rsidR="0008604F" w:rsidRPr="009653EB" w:rsidRDefault="0008604F" w:rsidP="0008604F">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DE3D74">
              <w:rPr>
                <w:sz w:val="20"/>
                <w:szCs w:val="20"/>
              </w:rPr>
              <w:t>1</w:t>
            </w:r>
            <w:r w:rsidR="00A524DA">
              <w:rPr>
                <w:sz w:val="20"/>
                <w:szCs w:val="20"/>
              </w:rPr>
              <w:t>1</w:t>
            </w:r>
          </w:p>
        </w:tc>
        <w:tc>
          <w:tcPr>
            <w:tcW w:w="1710" w:type="dxa"/>
            <w:shd w:val="clear" w:color="auto" w:fill="auto"/>
          </w:tcPr>
          <w:p w14:paraId="64853FEF" w14:textId="30974FC0" w:rsidR="0008604F" w:rsidRPr="009653EB" w:rsidRDefault="0008604F" w:rsidP="0008604F">
            <w:pPr>
              <w:rPr>
                <w:sz w:val="20"/>
                <w:szCs w:val="20"/>
              </w:rPr>
            </w:pPr>
          </w:p>
        </w:tc>
        <w:tc>
          <w:tcPr>
            <w:tcW w:w="1714" w:type="dxa"/>
          </w:tcPr>
          <w:p w14:paraId="66F2A8EF" w14:textId="77777777" w:rsidR="0008604F" w:rsidRDefault="0008604F" w:rsidP="0008604F">
            <w:pPr>
              <w:jc w:val="center"/>
              <w:rPr>
                <w:sz w:val="20"/>
                <w:szCs w:val="20"/>
              </w:rPr>
            </w:pPr>
            <w:proofErr w:type="gramStart"/>
            <w:r>
              <w:rPr>
                <w:sz w:val="20"/>
              </w:rPr>
              <w:t>2.F.3.a,d</w:t>
            </w:r>
            <w:proofErr w:type="gramEnd"/>
            <w:r>
              <w:rPr>
                <w:sz w:val="20"/>
              </w:rPr>
              <w:t>,i</w:t>
            </w:r>
          </w:p>
          <w:p w14:paraId="0647D55C" w14:textId="77777777" w:rsidR="0008604F" w:rsidRDefault="0008604F" w:rsidP="0008604F">
            <w:pPr>
              <w:jc w:val="center"/>
              <w:rPr>
                <w:sz w:val="20"/>
                <w:szCs w:val="20"/>
              </w:rPr>
            </w:pPr>
          </w:p>
        </w:tc>
      </w:tr>
      <w:tr w:rsidR="00DE3D74" w:rsidRPr="009653EB" w14:paraId="2C2AFD6F" w14:textId="77777777" w:rsidTr="00A535E3">
        <w:trPr>
          <w:cantSplit/>
        </w:trPr>
        <w:tc>
          <w:tcPr>
            <w:tcW w:w="846" w:type="dxa"/>
            <w:shd w:val="clear" w:color="auto" w:fill="auto"/>
          </w:tcPr>
          <w:p w14:paraId="1CAE198F" w14:textId="2CA67A3C" w:rsidR="00DE3D74" w:rsidRDefault="002960BA" w:rsidP="0008604F">
            <w:pPr>
              <w:jc w:val="center"/>
              <w:rPr>
                <w:rFonts w:ascii="Calibri" w:hAnsi="Calibri"/>
                <w:color w:val="000000"/>
                <w:sz w:val="20"/>
                <w:szCs w:val="20"/>
              </w:rPr>
            </w:pPr>
            <w:r>
              <w:rPr>
                <w:rFonts w:ascii="Calibri" w:hAnsi="Calibri"/>
                <w:color w:val="000000"/>
                <w:sz w:val="20"/>
                <w:szCs w:val="20"/>
              </w:rPr>
              <w:t>L17</w:t>
            </w:r>
          </w:p>
        </w:tc>
        <w:tc>
          <w:tcPr>
            <w:tcW w:w="746" w:type="dxa"/>
            <w:shd w:val="clear" w:color="auto" w:fill="auto"/>
          </w:tcPr>
          <w:p w14:paraId="5E17493B" w14:textId="77777777" w:rsidR="00DE3D74" w:rsidRPr="00520C70" w:rsidRDefault="00DE3D74" w:rsidP="0008604F">
            <w:pPr>
              <w:jc w:val="center"/>
              <w:rPr>
                <w:rFonts w:ascii="Calibri" w:hAnsi="Calibri"/>
                <w:b/>
                <w:color w:val="000000"/>
                <w:sz w:val="20"/>
                <w:szCs w:val="20"/>
              </w:rPr>
            </w:pPr>
          </w:p>
        </w:tc>
        <w:tc>
          <w:tcPr>
            <w:tcW w:w="2720" w:type="dxa"/>
            <w:shd w:val="clear" w:color="auto" w:fill="auto"/>
          </w:tcPr>
          <w:p w14:paraId="3E6144CF" w14:textId="6C773B4F" w:rsidR="00DE3D74" w:rsidRDefault="00DE3D74" w:rsidP="0008604F">
            <w:pPr>
              <w:rPr>
                <w:sz w:val="20"/>
                <w:szCs w:val="20"/>
              </w:rPr>
            </w:pPr>
            <w:r w:rsidRPr="0008604F">
              <w:rPr>
                <w:i/>
                <w:iCs/>
                <w:sz w:val="20"/>
                <w:szCs w:val="20"/>
              </w:rPr>
              <w:t xml:space="preserve">Counseling Considerations in </w:t>
            </w:r>
            <w:r>
              <w:rPr>
                <w:i/>
                <w:iCs/>
                <w:sz w:val="20"/>
                <w:szCs w:val="20"/>
              </w:rPr>
              <w:t>Young Adulthood</w:t>
            </w:r>
          </w:p>
        </w:tc>
        <w:tc>
          <w:tcPr>
            <w:tcW w:w="1628" w:type="dxa"/>
            <w:shd w:val="clear" w:color="auto" w:fill="auto"/>
          </w:tcPr>
          <w:p w14:paraId="34999403" w14:textId="588EF4DC" w:rsidR="00DE3D74" w:rsidRPr="003F212E" w:rsidRDefault="00DE3D74" w:rsidP="0008604F">
            <w:pPr>
              <w:rPr>
                <w:sz w:val="20"/>
                <w:szCs w:val="20"/>
              </w:rPr>
            </w:pPr>
            <w:r>
              <w:rPr>
                <w:sz w:val="20"/>
                <w:szCs w:val="20"/>
              </w:rPr>
              <w:t xml:space="preserve">Perry, </w:t>
            </w:r>
            <w:proofErr w:type="spellStart"/>
            <w:r>
              <w:rPr>
                <w:sz w:val="20"/>
                <w:szCs w:val="20"/>
              </w:rPr>
              <w:t>Chs</w:t>
            </w:r>
            <w:proofErr w:type="spellEnd"/>
            <w:r>
              <w:rPr>
                <w:sz w:val="20"/>
                <w:szCs w:val="20"/>
              </w:rPr>
              <w:t>. 11-12</w:t>
            </w:r>
          </w:p>
        </w:tc>
        <w:tc>
          <w:tcPr>
            <w:tcW w:w="1710" w:type="dxa"/>
            <w:shd w:val="clear" w:color="auto" w:fill="auto"/>
          </w:tcPr>
          <w:p w14:paraId="02D016A1" w14:textId="7342DF37" w:rsidR="00DE3D74" w:rsidRDefault="00DE3D74" w:rsidP="0008604F">
            <w:pPr>
              <w:rPr>
                <w:sz w:val="20"/>
                <w:szCs w:val="20"/>
              </w:rPr>
            </w:pPr>
          </w:p>
        </w:tc>
        <w:tc>
          <w:tcPr>
            <w:tcW w:w="1714" w:type="dxa"/>
          </w:tcPr>
          <w:p w14:paraId="0400C24F" w14:textId="77777777" w:rsidR="00DE3D74" w:rsidRDefault="00DE3D74" w:rsidP="0008604F">
            <w:pPr>
              <w:jc w:val="center"/>
              <w:rPr>
                <w:sz w:val="20"/>
              </w:rPr>
            </w:pPr>
          </w:p>
        </w:tc>
      </w:tr>
      <w:tr w:rsidR="0008604F" w:rsidRPr="009653EB" w14:paraId="690E6FA8" w14:textId="77777777" w:rsidTr="00A535E3">
        <w:trPr>
          <w:cantSplit/>
        </w:trPr>
        <w:tc>
          <w:tcPr>
            <w:tcW w:w="846" w:type="dxa"/>
            <w:shd w:val="clear" w:color="auto" w:fill="F2F2F2" w:themeFill="background1" w:themeFillShade="F2"/>
          </w:tcPr>
          <w:p w14:paraId="6DB7544B" w14:textId="13F1BBB7" w:rsidR="0008604F" w:rsidRDefault="0008604F" w:rsidP="0008604F">
            <w:pPr>
              <w:jc w:val="center"/>
              <w:rPr>
                <w:rFonts w:ascii="Calibri" w:hAnsi="Calibri"/>
                <w:color w:val="000000"/>
                <w:sz w:val="20"/>
                <w:szCs w:val="20"/>
              </w:rPr>
            </w:pPr>
            <w:r>
              <w:rPr>
                <w:rFonts w:ascii="Calibri" w:hAnsi="Calibri"/>
                <w:color w:val="000000"/>
                <w:sz w:val="20"/>
                <w:szCs w:val="20"/>
              </w:rPr>
              <w:t>L1</w:t>
            </w:r>
            <w:r w:rsidR="002960BA">
              <w:rPr>
                <w:rFonts w:ascii="Calibri" w:hAnsi="Calibri"/>
                <w:color w:val="000000"/>
                <w:sz w:val="20"/>
                <w:szCs w:val="20"/>
              </w:rPr>
              <w:t>8</w:t>
            </w:r>
          </w:p>
        </w:tc>
        <w:tc>
          <w:tcPr>
            <w:tcW w:w="746" w:type="dxa"/>
            <w:shd w:val="clear" w:color="auto" w:fill="F2F2F2" w:themeFill="background1" w:themeFillShade="F2"/>
          </w:tcPr>
          <w:p w14:paraId="2D29C605" w14:textId="42875666"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11/</w:t>
            </w:r>
            <w:r>
              <w:rPr>
                <w:rFonts w:ascii="Calibri" w:hAnsi="Calibri"/>
                <w:b/>
                <w:color w:val="000000"/>
                <w:sz w:val="20"/>
                <w:szCs w:val="20"/>
              </w:rPr>
              <w:t>4</w:t>
            </w:r>
          </w:p>
        </w:tc>
        <w:tc>
          <w:tcPr>
            <w:tcW w:w="2720" w:type="dxa"/>
            <w:shd w:val="clear" w:color="auto" w:fill="F2F2F2" w:themeFill="background1" w:themeFillShade="F2"/>
          </w:tcPr>
          <w:p w14:paraId="369E8290" w14:textId="507A75C6" w:rsidR="0008604F" w:rsidRPr="009B11C5" w:rsidRDefault="00DE3D74" w:rsidP="0008604F">
            <w:pPr>
              <w:rPr>
                <w:sz w:val="20"/>
                <w:szCs w:val="20"/>
              </w:rPr>
            </w:pPr>
            <w:r>
              <w:rPr>
                <w:sz w:val="20"/>
                <w:szCs w:val="20"/>
              </w:rPr>
              <w:t>12. Socioemotional and Vocational Development in Young Adulthood</w:t>
            </w:r>
          </w:p>
        </w:tc>
        <w:tc>
          <w:tcPr>
            <w:tcW w:w="1628" w:type="dxa"/>
            <w:shd w:val="clear" w:color="auto" w:fill="F2F2F2" w:themeFill="background1" w:themeFillShade="F2"/>
          </w:tcPr>
          <w:p w14:paraId="7A03927E" w14:textId="6C4B2038" w:rsidR="0008604F" w:rsidRPr="009B11C5" w:rsidRDefault="0008604F" w:rsidP="0008604F">
            <w:pPr>
              <w:rPr>
                <w:rFonts w:ascii="Calibri" w:hAnsi="Calibri"/>
                <w:b/>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DE3D74">
              <w:rPr>
                <w:sz w:val="20"/>
                <w:szCs w:val="20"/>
              </w:rPr>
              <w:t>1</w:t>
            </w:r>
            <w:r>
              <w:rPr>
                <w:sz w:val="20"/>
                <w:szCs w:val="20"/>
              </w:rPr>
              <w:t>2</w:t>
            </w:r>
          </w:p>
        </w:tc>
        <w:tc>
          <w:tcPr>
            <w:tcW w:w="1710" w:type="dxa"/>
            <w:shd w:val="clear" w:color="auto" w:fill="F2F2F2" w:themeFill="background1" w:themeFillShade="F2"/>
          </w:tcPr>
          <w:p w14:paraId="7617F736" w14:textId="1EF231C2" w:rsidR="0008604F" w:rsidRPr="009653EB" w:rsidRDefault="0008604F" w:rsidP="0008604F">
            <w:pPr>
              <w:rPr>
                <w:sz w:val="20"/>
                <w:szCs w:val="20"/>
              </w:rPr>
            </w:pPr>
          </w:p>
        </w:tc>
        <w:tc>
          <w:tcPr>
            <w:tcW w:w="1714" w:type="dxa"/>
            <w:shd w:val="clear" w:color="auto" w:fill="F2F2F2" w:themeFill="background1" w:themeFillShade="F2"/>
          </w:tcPr>
          <w:p w14:paraId="1073D42C" w14:textId="77777777" w:rsidR="0008604F" w:rsidRDefault="0008604F" w:rsidP="0008604F">
            <w:pPr>
              <w:jc w:val="center"/>
              <w:rPr>
                <w:sz w:val="20"/>
                <w:szCs w:val="20"/>
              </w:rPr>
            </w:pPr>
            <w:proofErr w:type="gramStart"/>
            <w:r>
              <w:rPr>
                <w:sz w:val="20"/>
              </w:rPr>
              <w:t>2.F.3.a,d</w:t>
            </w:r>
            <w:proofErr w:type="gramEnd"/>
            <w:r>
              <w:rPr>
                <w:sz w:val="20"/>
              </w:rPr>
              <w:t>,e,i</w:t>
            </w:r>
          </w:p>
          <w:p w14:paraId="469F51B5" w14:textId="77777777" w:rsidR="0008604F" w:rsidRDefault="0008604F" w:rsidP="0008604F">
            <w:pPr>
              <w:jc w:val="center"/>
              <w:rPr>
                <w:sz w:val="20"/>
                <w:szCs w:val="20"/>
              </w:rPr>
            </w:pPr>
          </w:p>
        </w:tc>
      </w:tr>
      <w:tr w:rsidR="00DE3D74" w:rsidRPr="009653EB" w14:paraId="222AE780" w14:textId="77777777" w:rsidTr="00A535E3">
        <w:trPr>
          <w:cantSplit/>
        </w:trPr>
        <w:tc>
          <w:tcPr>
            <w:tcW w:w="846" w:type="dxa"/>
            <w:shd w:val="clear" w:color="auto" w:fill="F2F2F2" w:themeFill="background1" w:themeFillShade="F2"/>
          </w:tcPr>
          <w:p w14:paraId="16F6B642" w14:textId="3E8CCFB5" w:rsidR="00DE3D74" w:rsidRDefault="002960BA" w:rsidP="0008604F">
            <w:pPr>
              <w:jc w:val="center"/>
              <w:rPr>
                <w:rFonts w:ascii="Calibri" w:hAnsi="Calibri"/>
                <w:color w:val="000000"/>
                <w:sz w:val="20"/>
                <w:szCs w:val="20"/>
              </w:rPr>
            </w:pPr>
            <w:r>
              <w:rPr>
                <w:rFonts w:ascii="Calibri" w:hAnsi="Calibri"/>
                <w:color w:val="000000"/>
                <w:sz w:val="20"/>
                <w:szCs w:val="20"/>
              </w:rPr>
              <w:t>L19</w:t>
            </w:r>
          </w:p>
        </w:tc>
        <w:tc>
          <w:tcPr>
            <w:tcW w:w="746" w:type="dxa"/>
            <w:shd w:val="clear" w:color="auto" w:fill="F2F2F2" w:themeFill="background1" w:themeFillShade="F2"/>
          </w:tcPr>
          <w:p w14:paraId="11BAAD5D" w14:textId="77777777" w:rsidR="00DE3D74" w:rsidRPr="00520C70" w:rsidRDefault="00DE3D74" w:rsidP="0008604F">
            <w:pPr>
              <w:jc w:val="center"/>
              <w:rPr>
                <w:rFonts w:ascii="Calibri" w:hAnsi="Calibri"/>
                <w:b/>
                <w:color w:val="000000"/>
                <w:sz w:val="20"/>
                <w:szCs w:val="20"/>
              </w:rPr>
            </w:pPr>
          </w:p>
        </w:tc>
        <w:tc>
          <w:tcPr>
            <w:tcW w:w="2720" w:type="dxa"/>
            <w:shd w:val="clear" w:color="auto" w:fill="F2F2F2" w:themeFill="background1" w:themeFillShade="F2"/>
          </w:tcPr>
          <w:p w14:paraId="419982C8" w14:textId="3FD22111" w:rsidR="00DE3D74" w:rsidRDefault="00DE3D74" w:rsidP="0008604F">
            <w:pPr>
              <w:rPr>
                <w:sz w:val="20"/>
                <w:szCs w:val="20"/>
              </w:rPr>
            </w:pPr>
            <w:r w:rsidRPr="0008604F">
              <w:rPr>
                <w:i/>
                <w:iCs/>
                <w:sz w:val="20"/>
                <w:szCs w:val="20"/>
              </w:rPr>
              <w:t xml:space="preserve">Counseling Considerations in </w:t>
            </w:r>
            <w:r>
              <w:rPr>
                <w:i/>
                <w:iCs/>
                <w:sz w:val="20"/>
                <w:szCs w:val="20"/>
              </w:rPr>
              <w:t>Young Adulthood</w:t>
            </w:r>
          </w:p>
        </w:tc>
        <w:tc>
          <w:tcPr>
            <w:tcW w:w="1628" w:type="dxa"/>
            <w:shd w:val="clear" w:color="auto" w:fill="F2F2F2" w:themeFill="background1" w:themeFillShade="F2"/>
          </w:tcPr>
          <w:p w14:paraId="393AFCC3" w14:textId="464007D4" w:rsidR="00DE3D74" w:rsidRPr="003F212E" w:rsidRDefault="00DE3D74" w:rsidP="0008604F">
            <w:pPr>
              <w:rPr>
                <w:sz w:val="20"/>
                <w:szCs w:val="20"/>
              </w:rPr>
            </w:pPr>
            <w:r>
              <w:rPr>
                <w:sz w:val="20"/>
                <w:szCs w:val="20"/>
              </w:rPr>
              <w:t xml:space="preserve">Clinton &amp; </w:t>
            </w:r>
            <w:proofErr w:type="spellStart"/>
            <w:r>
              <w:rPr>
                <w:sz w:val="20"/>
                <w:szCs w:val="20"/>
              </w:rPr>
              <w:t>Sibcy</w:t>
            </w:r>
            <w:proofErr w:type="spellEnd"/>
            <w:r>
              <w:rPr>
                <w:sz w:val="20"/>
                <w:szCs w:val="20"/>
              </w:rPr>
              <w:t xml:space="preserve">, </w:t>
            </w:r>
            <w:proofErr w:type="spellStart"/>
            <w:r>
              <w:rPr>
                <w:sz w:val="20"/>
                <w:szCs w:val="20"/>
              </w:rPr>
              <w:t>Chs</w:t>
            </w:r>
            <w:proofErr w:type="spellEnd"/>
            <w:r>
              <w:rPr>
                <w:sz w:val="20"/>
                <w:szCs w:val="20"/>
              </w:rPr>
              <w:t>. 1-3</w:t>
            </w:r>
          </w:p>
        </w:tc>
        <w:tc>
          <w:tcPr>
            <w:tcW w:w="1710" w:type="dxa"/>
            <w:shd w:val="clear" w:color="auto" w:fill="F2F2F2" w:themeFill="background1" w:themeFillShade="F2"/>
          </w:tcPr>
          <w:p w14:paraId="3BAA2291" w14:textId="77777777" w:rsidR="00DE3D74" w:rsidRDefault="00A524DA" w:rsidP="0008604F">
            <w:pPr>
              <w:rPr>
                <w:sz w:val="20"/>
                <w:szCs w:val="20"/>
              </w:rPr>
            </w:pPr>
            <w:r>
              <w:rPr>
                <w:sz w:val="20"/>
                <w:szCs w:val="20"/>
              </w:rPr>
              <w:t>Quiz 4:</w:t>
            </w:r>
          </w:p>
          <w:p w14:paraId="707FE77C" w14:textId="77777777" w:rsidR="00A524DA" w:rsidRDefault="00A524DA" w:rsidP="0008604F">
            <w:pPr>
              <w:rPr>
                <w:sz w:val="20"/>
                <w:szCs w:val="20"/>
              </w:rPr>
            </w:pPr>
            <w:r>
              <w:rPr>
                <w:sz w:val="20"/>
                <w:szCs w:val="20"/>
              </w:rPr>
              <w:t>Young Adulthood</w:t>
            </w:r>
          </w:p>
          <w:p w14:paraId="26FF90F8" w14:textId="1A78040A" w:rsidR="00A524DA" w:rsidRDefault="00A524DA" w:rsidP="0008604F">
            <w:pPr>
              <w:rPr>
                <w:sz w:val="20"/>
                <w:szCs w:val="20"/>
              </w:rPr>
            </w:pPr>
            <w:r>
              <w:rPr>
                <w:sz w:val="20"/>
                <w:szCs w:val="20"/>
              </w:rPr>
              <w:t>(</w:t>
            </w:r>
            <w:proofErr w:type="spellStart"/>
            <w:r>
              <w:rPr>
                <w:sz w:val="20"/>
                <w:szCs w:val="20"/>
              </w:rPr>
              <w:t>Chs</w:t>
            </w:r>
            <w:proofErr w:type="spellEnd"/>
            <w:r>
              <w:rPr>
                <w:sz w:val="20"/>
                <w:szCs w:val="20"/>
              </w:rPr>
              <w:t xml:space="preserve"> 11-12)</w:t>
            </w:r>
          </w:p>
        </w:tc>
        <w:tc>
          <w:tcPr>
            <w:tcW w:w="1714" w:type="dxa"/>
            <w:shd w:val="clear" w:color="auto" w:fill="F2F2F2" w:themeFill="background1" w:themeFillShade="F2"/>
          </w:tcPr>
          <w:p w14:paraId="3569428D" w14:textId="77777777" w:rsidR="00DE3D74" w:rsidRDefault="00DE3D74" w:rsidP="0008604F">
            <w:pPr>
              <w:jc w:val="center"/>
              <w:rPr>
                <w:sz w:val="20"/>
              </w:rPr>
            </w:pPr>
          </w:p>
        </w:tc>
      </w:tr>
      <w:tr w:rsidR="0008604F" w:rsidRPr="009653EB" w14:paraId="6A64A016" w14:textId="77777777" w:rsidTr="00A535E3">
        <w:trPr>
          <w:cantSplit/>
        </w:trPr>
        <w:tc>
          <w:tcPr>
            <w:tcW w:w="846" w:type="dxa"/>
            <w:shd w:val="clear" w:color="auto" w:fill="auto"/>
          </w:tcPr>
          <w:p w14:paraId="2C7C526C" w14:textId="527907D9" w:rsidR="0008604F" w:rsidRDefault="0008604F" w:rsidP="0008604F">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20</w:t>
            </w:r>
          </w:p>
        </w:tc>
        <w:tc>
          <w:tcPr>
            <w:tcW w:w="746" w:type="dxa"/>
            <w:shd w:val="clear" w:color="auto" w:fill="auto"/>
          </w:tcPr>
          <w:p w14:paraId="3872B8ED" w14:textId="1253D26C"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11/1</w:t>
            </w:r>
            <w:r>
              <w:rPr>
                <w:rFonts w:ascii="Calibri" w:hAnsi="Calibri"/>
                <w:b/>
                <w:color w:val="000000"/>
                <w:sz w:val="20"/>
                <w:szCs w:val="20"/>
              </w:rPr>
              <w:t>1</w:t>
            </w:r>
          </w:p>
        </w:tc>
        <w:tc>
          <w:tcPr>
            <w:tcW w:w="2720" w:type="dxa"/>
            <w:shd w:val="clear" w:color="auto" w:fill="auto"/>
          </w:tcPr>
          <w:p w14:paraId="242D1EB6" w14:textId="6268D0C4" w:rsidR="0008604F" w:rsidRPr="009B11C5" w:rsidRDefault="0008604F" w:rsidP="0008604F">
            <w:pPr>
              <w:rPr>
                <w:sz w:val="20"/>
                <w:szCs w:val="20"/>
              </w:rPr>
            </w:pPr>
            <w:r>
              <w:rPr>
                <w:sz w:val="20"/>
                <w:szCs w:val="20"/>
              </w:rPr>
              <w:t>13. Middle Adulthood: Cognitive, Personality, and Social Development</w:t>
            </w:r>
          </w:p>
        </w:tc>
        <w:tc>
          <w:tcPr>
            <w:tcW w:w="1628" w:type="dxa"/>
            <w:shd w:val="clear" w:color="auto" w:fill="auto"/>
          </w:tcPr>
          <w:p w14:paraId="71FFF1F3" w14:textId="4B2B75FD" w:rsidR="0008604F" w:rsidRPr="009653EB" w:rsidRDefault="0008604F" w:rsidP="0008604F">
            <w:pPr>
              <w:rPr>
                <w:rFonts w:ascii="Calibri" w:hAnsi="Calibri"/>
                <w:color w:val="000000"/>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DE3D74">
              <w:rPr>
                <w:sz w:val="20"/>
                <w:szCs w:val="20"/>
              </w:rPr>
              <w:t>13</w:t>
            </w:r>
          </w:p>
        </w:tc>
        <w:tc>
          <w:tcPr>
            <w:tcW w:w="1710" w:type="dxa"/>
            <w:shd w:val="clear" w:color="auto" w:fill="auto"/>
          </w:tcPr>
          <w:p w14:paraId="02F1DC36" w14:textId="2AB16EC9" w:rsidR="0008604F" w:rsidRPr="009653EB" w:rsidRDefault="0008604F" w:rsidP="0008604F">
            <w:pPr>
              <w:rPr>
                <w:sz w:val="20"/>
                <w:szCs w:val="20"/>
              </w:rPr>
            </w:pPr>
          </w:p>
        </w:tc>
        <w:tc>
          <w:tcPr>
            <w:tcW w:w="1714" w:type="dxa"/>
          </w:tcPr>
          <w:p w14:paraId="1399AA82" w14:textId="77777777" w:rsidR="0008604F" w:rsidRDefault="0008604F" w:rsidP="0008604F">
            <w:pPr>
              <w:jc w:val="center"/>
              <w:rPr>
                <w:sz w:val="20"/>
                <w:szCs w:val="20"/>
              </w:rPr>
            </w:pPr>
            <w:proofErr w:type="gramStart"/>
            <w:r>
              <w:rPr>
                <w:sz w:val="20"/>
              </w:rPr>
              <w:t>2.F.3.a,f</w:t>
            </w:r>
            <w:proofErr w:type="gramEnd"/>
            <w:r>
              <w:rPr>
                <w:sz w:val="20"/>
              </w:rPr>
              <w:t>,i</w:t>
            </w:r>
          </w:p>
          <w:p w14:paraId="092EFB20" w14:textId="77777777" w:rsidR="0008604F" w:rsidRPr="00837936" w:rsidRDefault="0008604F" w:rsidP="0008604F">
            <w:pPr>
              <w:jc w:val="center"/>
              <w:rPr>
                <w:b/>
                <w:sz w:val="20"/>
                <w:szCs w:val="20"/>
              </w:rPr>
            </w:pPr>
          </w:p>
        </w:tc>
      </w:tr>
      <w:tr w:rsidR="00DE3D74" w:rsidRPr="009653EB" w14:paraId="4C5242FD" w14:textId="77777777" w:rsidTr="00A535E3">
        <w:trPr>
          <w:cantSplit/>
        </w:trPr>
        <w:tc>
          <w:tcPr>
            <w:tcW w:w="846" w:type="dxa"/>
            <w:shd w:val="clear" w:color="auto" w:fill="auto"/>
          </w:tcPr>
          <w:p w14:paraId="63DAA6BF" w14:textId="4FCF609E" w:rsidR="00DE3D74" w:rsidRDefault="002960BA" w:rsidP="0008604F">
            <w:pPr>
              <w:jc w:val="center"/>
              <w:rPr>
                <w:rFonts w:ascii="Calibri" w:hAnsi="Calibri"/>
                <w:color w:val="000000"/>
                <w:sz w:val="20"/>
                <w:szCs w:val="20"/>
              </w:rPr>
            </w:pPr>
            <w:r>
              <w:rPr>
                <w:rFonts w:ascii="Calibri" w:hAnsi="Calibri"/>
                <w:color w:val="000000"/>
                <w:sz w:val="20"/>
                <w:szCs w:val="20"/>
              </w:rPr>
              <w:t>L21</w:t>
            </w:r>
          </w:p>
        </w:tc>
        <w:tc>
          <w:tcPr>
            <w:tcW w:w="746" w:type="dxa"/>
            <w:shd w:val="clear" w:color="auto" w:fill="auto"/>
          </w:tcPr>
          <w:p w14:paraId="563BD636" w14:textId="77777777" w:rsidR="00DE3D74" w:rsidRPr="00520C70" w:rsidRDefault="00DE3D74" w:rsidP="0008604F">
            <w:pPr>
              <w:jc w:val="center"/>
              <w:rPr>
                <w:rFonts w:ascii="Calibri" w:hAnsi="Calibri"/>
                <w:b/>
                <w:color w:val="000000"/>
                <w:sz w:val="20"/>
                <w:szCs w:val="20"/>
              </w:rPr>
            </w:pPr>
          </w:p>
        </w:tc>
        <w:tc>
          <w:tcPr>
            <w:tcW w:w="2720" w:type="dxa"/>
            <w:shd w:val="clear" w:color="auto" w:fill="auto"/>
          </w:tcPr>
          <w:p w14:paraId="5095B3E0" w14:textId="1FDFDED8" w:rsidR="00DE3D74" w:rsidRDefault="00DE3D74" w:rsidP="0008604F">
            <w:pPr>
              <w:rPr>
                <w:sz w:val="20"/>
                <w:szCs w:val="20"/>
              </w:rPr>
            </w:pPr>
            <w:r w:rsidRPr="0008604F">
              <w:rPr>
                <w:i/>
                <w:iCs/>
                <w:sz w:val="20"/>
                <w:szCs w:val="20"/>
              </w:rPr>
              <w:t xml:space="preserve">Counseling Considerations in </w:t>
            </w:r>
            <w:r>
              <w:rPr>
                <w:i/>
                <w:iCs/>
                <w:sz w:val="20"/>
                <w:szCs w:val="20"/>
              </w:rPr>
              <w:t>Middle Adulthood</w:t>
            </w:r>
          </w:p>
        </w:tc>
        <w:tc>
          <w:tcPr>
            <w:tcW w:w="1628" w:type="dxa"/>
            <w:shd w:val="clear" w:color="auto" w:fill="auto"/>
          </w:tcPr>
          <w:p w14:paraId="1A22858C" w14:textId="5D64A9C3" w:rsidR="00DE3D74" w:rsidRPr="003F212E" w:rsidRDefault="00DE3D74" w:rsidP="0008604F">
            <w:pPr>
              <w:rPr>
                <w:sz w:val="20"/>
                <w:szCs w:val="20"/>
              </w:rPr>
            </w:pPr>
            <w:r>
              <w:rPr>
                <w:sz w:val="20"/>
                <w:szCs w:val="20"/>
              </w:rPr>
              <w:t xml:space="preserve">Clinton &amp; </w:t>
            </w:r>
            <w:proofErr w:type="spellStart"/>
            <w:r>
              <w:rPr>
                <w:sz w:val="20"/>
                <w:szCs w:val="20"/>
              </w:rPr>
              <w:t>Sibcy</w:t>
            </w:r>
            <w:proofErr w:type="spellEnd"/>
            <w:r>
              <w:rPr>
                <w:sz w:val="20"/>
                <w:szCs w:val="20"/>
              </w:rPr>
              <w:t xml:space="preserve">, </w:t>
            </w:r>
            <w:proofErr w:type="spellStart"/>
            <w:r>
              <w:rPr>
                <w:sz w:val="20"/>
                <w:szCs w:val="20"/>
              </w:rPr>
              <w:t>Chs</w:t>
            </w:r>
            <w:proofErr w:type="spellEnd"/>
            <w:r>
              <w:rPr>
                <w:sz w:val="20"/>
                <w:szCs w:val="20"/>
              </w:rPr>
              <w:t>. 4-6</w:t>
            </w:r>
          </w:p>
        </w:tc>
        <w:tc>
          <w:tcPr>
            <w:tcW w:w="1710" w:type="dxa"/>
            <w:shd w:val="clear" w:color="auto" w:fill="auto"/>
          </w:tcPr>
          <w:p w14:paraId="396A1849" w14:textId="77777777" w:rsidR="00DE3D74" w:rsidRDefault="00DE3D74" w:rsidP="0008604F">
            <w:pPr>
              <w:rPr>
                <w:sz w:val="20"/>
                <w:szCs w:val="20"/>
              </w:rPr>
            </w:pPr>
          </w:p>
        </w:tc>
        <w:tc>
          <w:tcPr>
            <w:tcW w:w="1714" w:type="dxa"/>
          </w:tcPr>
          <w:p w14:paraId="36328CD9" w14:textId="77777777" w:rsidR="00DE3D74" w:rsidRDefault="00DE3D74" w:rsidP="0008604F">
            <w:pPr>
              <w:jc w:val="center"/>
              <w:rPr>
                <w:sz w:val="20"/>
              </w:rPr>
            </w:pPr>
          </w:p>
        </w:tc>
      </w:tr>
      <w:tr w:rsidR="0008604F" w:rsidRPr="009653EB" w14:paraId="1F91E0CE" w14:textId="77777777" w:rsidTr="00A535E3">
        <w:trPr>
          <w:cantSplit/>
        </w:trPr>
        <w:tc>
          <w:tcPr>
            <w:tcW w:w="846" w:type="dxa"/>
            <w:shd w:val="clear" w:color="auto" w:fill="F2F2F2" w:themeFill="background1" w:themeFillShade="F2"/>
          </w:tcPr>
          <w:p w14:paraId="45FF0E4A" w14:textId="47768236" w:rsidR="0008604F" w:rsidRDefault="0008604F" w:rsidP="0008604F">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22</w:t>
            </w:r>
          </w:p>
        </w:tc>
        <w:tc>
          <w:tcPr>
            <w:tcW w:w="746" w:type="dxa"/>
            <w:shd w:val="clear" w:color="auto" w:fill="F2F2F2" w:themeFill="background1" w:themeFillShade="F2"/>
          </w:tcPr>
          <w:p w14:paraId="64D3F76F" w14:textId="3403F952"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11/</w:t>
            </w:r>
            <w:r>
              <w:rPr>
                <w:rFonts w:ascii="Calibri" w:hAnsi="Calibri"/>
                <w:b/>
                <w:color w:val="000000"/>
                <w:sz w:val="20"/>
                <w:szCs w:val="20"/>
              </w:rPr>
              <w:t>18</w:t>
            </w:r>
          </w:p>
        </w:tc>
        <w:tc>
          <w:tcPr>
            <w:tcW w:w="2720" w:type="dxa"/>
            <w:shd w:val="clear" w:color="auto" w:fill="F2F2F2" w:themeFill="background1" w:themeFillShade="F2"/>
          </w:tcPr>
          <w:p w14:paraId="32C85343" w14:textId="3F0E399F" w:rsidR="0008604F" w:rsidRPr="009B11C5" w:rsidRDefault="0008604F" w:rsidP="0008604F">
            <w:pPr>
              <w:rPr>
                <w:sz w:val="20"/>
                <w:szCs w:val="20"/>
              </w:rPr>
            </w:pPr>
            <w:r>
              <w:rPr>
                <w:sz w:val="20"/>
                <w:szCs w:val="20"/>
              </w:rPr>
              <w:t>14. Living Well: Stress, Coping, and Life Satisfaction in Adulthood</w:t>
            </w:r>
          </w:p>
        </w:tc>
        <w:tc>
          <w:tcPr>
            <w:tcW w:w="1628" w:type="dxa"/>
            <w:shd w:val="clear" w:color="auto" w:fill="F2F2F2" w:themeFill="background1" w:themeFillShade="F2"/>
          </w:tcPr>
          <w:p w14:paraId="4A2F076F" w14:textId="33C8DAA0" w:rsidR="0008604F" w:rsidRPr="009653EB" w:rsidRDefault="0008604F" w:rsidP="0008604F">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DE3D74">
              <w:rPr>
                <w:sz w:val="20"/>
                <w:szCs w:val="20"/>
              </w:rPr>
              <w:t>14</w:t>
            </w:r>
          </w:p>
        </w:tc>
        <w:tc>
          <w:tcPr>
            <w:tcW w:w="1710" w:type="dxa"/>
            <w:shd w:val="clear" w:color="auto" w:fill="F2F2F2" w:themeFill="background1" w:themeFillShade="F2"/>
          </w:tcPr>
          <w:p w14:paraId="093CFBDA" w14:textId="615EFBBD" w:rsidR="0008604F" w:rsidRPr="00116DDD" w:rsidRDefault="0008604F" w:rsidP="0008604F">
            <w:pPr>
              <w:rPr>
                <w:b/>
                <w:sz w:val="20"/>
                <w:szCs w:val="20"/>
              </w:rPr>
            </w:pPr>
          </w:p>
        </w:tc>
        <w:tc>
          <w:tcPr>
            <w:tcW w:w="1714" w:type="dxa"/>
            <w:shd w:val="clear" w:color="auto" w:fill="F2F2F2" w:themeFill="background1" w:themeFillShade="F2"/>
          </w:tcPr>
          <w:p w14:paraId="03969B76" w14:textId="77777777" w:rsidR="0008604F" w:rsidRDefault="0008604F" w:rsidP="0008604F">
            <w:pPr>
              <w:jc w:val="center"/>
              <w:rPr>
                <w:sz w:val="20"/>
                <w:szCs w:val="20"/>
              </w:rPr>
            </w:pPr>
            <w:proofErr w:type="gramStart"/>
            <w:r>
              <w:rPr>
                <w:sz w:val="20"/>
              </w:rPr>
              <w:t>2.F.3.a,c</w:t>
            </w:r>
            <w:proofErr w:type="gramEnd"/>
            <w:r>
              <w:rPr>
                <w:sz w:val="20"/>
              </w:rPr>
              <w:t>,f,i</w:t>
            </w:r>
          </w:p>
          <w:p w14:paraId="43D6B95C" w14:textId="77777777" w:rsidR="0008604F" w:rsidRDefault="0008604F" w:rsidP="0008604F">
            <w:pPr>
              <w:jc w:val="center"/>
              <w:rPr>
                <w:sz w:val="20"/>
                <w:szCs w:val="20"/>
              </w:rPr>
            </w:pPr>
          </w:p>
        </w:tc>
      </w:tr>
      <w:tr w:rsidR="00DE3D74" w:rsidRPr="009653EB" w14:paraId="395C043A" w14:textId="77777777" w:rsidTr="00A535E3">
        <w:trPr>
          <w:cantSplit/>
        </w:trPr>
        <w:tc>
          <w:tcPr>
            <w:tcW w:w="846" w:type="dxa"/>
            <w:shd w:val="clear" w:color="auto" w:fill="F2F2F2" w:themeFill="background1" w:themeFillShade="F2"/>
          </w:tcPr>
          <w:p w14:paraId="5B0D125B" w14:textId="480FEADC" w:rsidR="00DE3D74" w:rsidRDefault="002960BA" w:rsidP="0008604F">
            <w:pPr>
              <w:jc w:val="center"/>
              <w:rPr>
                <w:rFonts w:ascii="Calibri" w:hAnsi="Calibri"/>
                <w:color w:val="000000"/>
                <w:sz w:val="20"/>
                <w:szCs w:val="20"/>
              </w:rPr>
            </w:pPr>
            <w:r>
              <w:rPr>
                <w:rFonts w:ascii="Calibri" w:hAnsi="Calibri"/>
                <w:color w:val="000000"/>
                <w:sz w:val="20"/>
                <w:szCs w:val="20"/>
              </w:rPr>
              <w:t>L23</w:t>
            </w:r>
          </w:p>
        </w:tc>
        <w:tc>
          <w:tcPr>
            <w:tcW w:w="746" w:type="dxa"/>
            <w:shd w:val="clear" w:color="auto" w:fill="F2F2F2" w:themeFill="background1" w:themeFillShade="F2"/>
          </w:tcPr>
          <w:p w14:paraId="1F8625D8" w14:textId="77777777" w:rsidR="00DE3D74" w:rsidRPr="00520C70" w:rsidRDefault="00DE3D74" w:rsidP="0008604F">
            <w:pPr>
              <w:jc w:val="center"/>
              <w:rPr>
                <w:rFonts w:ascii="Calibri" w:hAnsi="Calibri"/>
                <w:b/>
                <w:color w:val="000000"/>
                <w:sz w:val="20"/>
                <w:szCs w:val="20"/>
              </w:rPr>
            </w:pPr>
          </w:p>
        </w:tc>
        <w:tc>
          <w:tcPr>
            <w:tcW w:w="2720" w:type="dxa"/>
            <w:shd w:val="clear" w:color="auto" w:fill="F2F2F2" w:themeFill="background1" w:themeFillShade="F2"/>
          </w:tcPr>
          <w:p w14:paraId="7866A1D0" w14:textId="776300CA" w:rsidR="00DE3D74" w:rsidRDefault="002960BA" w:rsidP="0008604F">
            <w:pPr>
              <w:rPr>
                <w:sz w:val="20"/>
                <w:szCs w:val="20"/>
              </w:rPr>
            </w:pPr>
            <w:r w:rsidRPr="0008604F">
              <w:rPr>
                <w:i/>
                <w:iCs/>
                <w:sz w:val="20"/>
                <w:szCs w:val="20"/>
              </w:rPr>
              <w:t xml:space="preserve">Counseling Considerations in </w:t>
            </w:r>
            <w:r>
              <w:rPr>
                <w:i/>
                <w:iCs/>
                <w:sz w:val="20"/>
                <w:szCs w:val="20"/>
              </w:rPr>
              <w:t>Adulthood</w:t>
            </w:r>
          </w:p>
        </w:tc>
        <w:tc>
          <w:tcPr>
            <w:tcW w:w="1628" w:type="dxa"/>
            <w:shd w:val="clear" w:color="auto" w:fill="F2F2F2" w:themeFill="background1" w:themeFillShade="F2"/>
          </w:tcPr>
          <w:p w14:paraId="145A9A4F" w14:textId="65AC8A0A" w:rsidR="00DE3D74" w:rsidRPr="003F212E" w:rsidRDefault="00DE3D74" w:rsidP="0008604F">
            <w:pPr>
              <w:rPr>
                <w:sz w:val="20"/>
                <w:szCs w:val="20"/>
              </w:rPr>
            </w:pPr>
            <w:r>
              <w:rPr>
                <w:sz w:val="20"/>
                <w:szCs w:val="20"/>
              </w:rPr>
              <w:t xml:space="preserve">Clinton &amp; </w:t>
            </w:r>
            <w:proofErr w:type="spellStart"/>
            <w:r>
              <w:rPr>
                <w:sz w:val="20"/>
                <w:szCs w:val="20"/>
              </w:rPr>
              <w:t>Sibcy</w:t>
            </w:r>
            <w:proofErr w:type="spellEnd"/>
            <w:r>
              <w:rPr>
                <w:sz w:val="20"/>
                <w:szCs w:val="20"/>
              </w:rPr>
              <w:t xml:space="preserve">, </w:t>
            </w:r>
            <w:proofErr w:type="spellStart"/>
            <w:r>
              <w:rPr>
                <w:sz w:val="20"/>
                <w:szCs w:val="20"/>
              </w:rPr>
              <w:t>Chs</w:t>
            </w:r>
            <w:proofErr w:type="spellEnd"/>
            <w:r>
              <w:rPr>
                <w:sz w:val="20"/>
                <w:szCs w:val="20"/>
              </w:rPr>
              <w:t>. 7-9</w:t>
            </w:r>
          </w:p>
        </w:tc>
        <w:tc>
          <w:tcPr>
            <w:tcW w:w="1710" w:type="dxa"/>
            <w:shd w:val="clear" w:color="auto" w:fill="F2F2F2" w:themeFill="background1" w:themeFillShade="F2"/>
          </w:tcPr>
          <w:p w14:paraId="72DE71FB" w14:textId="784DE1F4" w:rsidR="00DE3D74" w:rsidRDefault="00815416" w:rsidP="0008604F">
            <w:pPr>
              <w:rPr>
                <w:sz w:val="20"/>
                <w:szCs w:val="20"/>
              </w:rPr>
            </w:pPr>
            <w:r>
              <w:rPr>
                <w:sz w:val="20"/>
                <w:szCs w:val="20"/>
              </w:rPr>
              <w:t>Attachment Case Study (due by 11:59pm)</w:t>
            </w:r>
          </w:p>
        </w:tc>
        <w:tc>
          <w:tcPr>
            <w:tcW w:w="1714" w:type="dxa"/>
            <w:shd w:val="clear" w:color="auto" w:fill="F2F2F2" w:themeFill="background1" w:themeFillShade="F2"/>
          </w:tcPr>
          <w:p w14:paraId="5AC7AD9B" w14:textId="77777777" w:rsidR="00DE3D74" w:rsidRDefault="00DE3D74" w:rsidP="0008604F">
            <w:pPr>
              <w:jc w:val="center"/>
              <w:rPr>
                <w:sz w:val="20"/>
              </w:rPr>
            </w:pPr>
          </w:p>
        </w:tc>
      </w:tr>
      <w:tr w:rsidR="0008604F" w:rsidRPr="009653EB" w14:paraId="3C1EC8A1" w14:textId="77777777" w:rsidTr="00A535E3">
        <w:trPr>
          <w:cantSplit/>
        </w:trPr>
        <w:tc>
          <w:tcPr>
            <w:tcW w:w="846" w:type="dxa"/>
            <w:shd w:val="clear" w:color="auto" w:fill="BFBFBF" w:themeFill="background1" w:themeFillShade="BF"/>
          </w:tcPr>
          <w:p w14:paraId="08BB7C82" w14:textId="77777777" w:rsidR="0008604F" w:rsidRDefault="0008604F" w:rsidP="0008604F">
            <w:pPr>
              <w:jc w:val="center"/>
              <w:rPr>
                <w:rFonts w:ascii="Calibri" w:hAnsi="Calibri"/>
                <w:color w:val="000000"/>
                <w:sz w:val="20"/>
                <w:szCs w:val="20"/>
              </w:rPr>
            </w:pPr>
          </w:p>
        </w:tc>
        <w:tc>
          <w:tcPr>
            <w:tcW w:w="746" w:type="dxa"/>
            <w:shd w:val="clear" w:color="auto" w:fill="BFBFBF" w:themeFill="background1" w:themeFillShade="BF"/>
          </w:tcPr>
          <w:p w14:paraId="1BA44D23" w14:textId="4A54BD1C"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11/2</w:t>
            </w:r>
            <w:r>
              <w:rPr>
                <w:rFonts w:ascii="Calibri" w:hAnsi="Calibri"/>
                <w:b/>
                <w:color w:val="000000"/>
                <w:sz w:val="20"/>
                <w:szCs w:val="20"/>
              </w:rPr>
              <w:t>5</w:t>
            </w:r>
          </w:p>
        </w:tc>
        <w:tc>
          <w:tcPr>
            <w:tcW w:w="2720" w:type="dxa"/>
            <w:shd w:val="clear" w:color="auto" w:fill="BFBFBF" w:themeFill="background1" w:themeFillShade="BF"/>
          </w:tcPr>
          <w:p w14:paraId="092FFD41" w14:textId="77777777" w:rsidR="0008604F" w:rsidRPr="005C4A7F" w:rsidRDefault="0008604F" w:rsidP="0008604F">
            <w:pPr>
              <w:rPr>
                <w:b/>
                <w:sz w:val="20"/>
                <w:szCs w:val="20"/>
              </w:rPr>
            </w:pPr>
            <w:r w:rsidRPr="005C4A7F">
              <w:rPr>
                <w:b/>
                <w:sz w:val="20"/>
                <w:szCs w:val="20"/>
              </w:rPr>
              <w:t>Thanksgiving Holiday</w:t>
            </w:r>
          </w:p>
        </w:tc>
        <w:tc>
          <w:tcPr>
            <w:tcW w:w="1628" w:type="dxa"/>
            <w:shd w:val="clear" w:color="auto" w:fill="BFBFBF" w:themeFill="background1" w:themeFillShade="BF"/>
          </w:tcPr>
          <w:p w14:paraId="1113494F" w14:textId="77777777" w:rsidR="0008604F" w:rsidRPr="009653EB" w:rsidRDefault="0008604F" w:rsidP="0008604F">
            <w:pPr>
              <w:rPr>
                <w:sz w:val="20"/>
                <w:szCs w:val="20"/>
              </w:rPr>
            </w:pPr>
          </w:p>
        </w:tc>
        <w:tc>
          <w:tcPr>
            <w:tcW w:w="1710" w:type="dxa"/>
            <w:shd w:val="clear" w:color="auto" w:fill="BFBFBF" w:themeFill="background1" w:themeFillShade="BF"/>
          </w:tcPr>
          <w:p w14:paraId="2BF012FF" w14:textId="77777777" w:rsidR="0008604F" w:rsidRPr="00116DDD" w:rsidRDefault="0008604F" w:rsidP="0008604F">
            <w:pPr>
              <w:rPr>
                <w:b/>
                <w:sz w:val="20"/>
                <w:szCs w:val="20"/>
              </w:rPr>
            </w:pPr>
          </w:p>
        </w:tc>
        <w:tc>
          <w:tcPr>
            <w:tcW w:w="1714" w:type="dxa"/>
            <w:shd w:val="clear" w:color="auto" w:fill="BFBFBF" w:themeFill="background1" w:themeFillShade="BF"/>
          </w:tcPr>
          <w:p w14:paraId="34159C6D" w14:textId="77777777" w:rsidR="0008604F" w:rsidRDefault="0008604F" w:rsidP="0008604F">
            <w:pPr>
              <w:jc w:val="center"/>
              <w:rPr>
                <w:sz w:val="20"/>
              </w:rPr>
            </w:pPr>
          </w:p>
        </w:tc>
      </w:tr>
      <w:tr w:rsidR="0008604F" w:rsidRPr="009653EB" w14:paraId="1B85B86F" w14:textId="77777777" w:rsidTr="00A535E3">
        <w:trPr>
          <w:cantSplit/>
        </w:trPr>
        <w:tc>
          <w:tcPr>
            <w:tcW w:w="846" w:type="dxa"/>
            <w:shd w:val="clear" w:color="auto" w:fill="auto"/>
          </w:tcPr>
          <w:p w14:paraId="7CE88361" w14:textId="5B4E24B9" w:rsidR="0008604F" w:rsidRDefault="0008604F" w:rsidP="0008604F">
            <w:pPr>
              <w:jc w:val="center"/>
              <w:rPr>
                <w:rFonts w:ascii="Calibri" w:hAnsi="Calibri"/>
                <w:color w:val="000000"/>
                <w:sz w:val="20"/>
                <w:szCs w:val="20"/>
              </w:rPr>
            </w:pPr>
            <w:r>
              <w:rPr>
                <w:rFonts w:ascii="Calibri" w:hAnsi="Calibri"/>
                <w:color w:val="000000"/>
                <w:sz w:val="20"/>
                <w:szCs w:val="20"/>
              </w:rPr>
              <w:t>L</w:t>
            </w:r>
            <w:r w:rsidR="002960BA">
              <w:rPr>
                <w:rFonts w:ascii="Calibri" w:hAnsi="Calibri"/>
                <w:color w:val="000000"/>
                <w:sz w:val="20"/>
                <w:szCs w:val="20"/>
              </w:rPr>
              <w:t>24</w:t>
            </w:r>
          </w:p>
        </w:tc>
        <w:tc>
          <w:tcPr>
            <w:tcW w:w="746" w:type="dxa"/>
            <w:shd w:val="clear" w:color="auto" w:fill="auto"/>
          </w:tcPr>
          <w:p w14:paraId="7F052D79" w14:textId="6DE37A58" w:rsidR="0008604F" w:rsidRPr="00520C70" w:rsidRDefault="0008604F" w:rsidP="0008604F">
            <w:pPr>
              <w:jc w:val="center"/>
              <w:rPr>
                <w:rFonts w:ascii="Calibri" w:hAnsi="Calibri"/>
                <w:b/>
                <w:color w:val="000000"/>
                <w:sz w:val="20"/>
                <w:szCs w:val="20"/>
              </w:rPr>
            </w:pPr>
            <w:r w:rsidRPr="00520C70">
              <w:rPr>
                <w:rFonts w:ascii="Calibri" w:hAnsi="Calibri"/>
                <w:b/>
                <w:color w:val="000000"/>
                <w:sz w:val="20"/>
                <w:szCs w:val="20"/>
              </w:rPr>
              <w:t>12/</w:t>
            </w:r>
            <w:r>
              <w:rPr>
                <w:rFonts w:ascii="Calibri" w:hAnsi="Calibri"/>
                <w:b/>
                <w:color w:val="000000"/>
                <w:sz w:val="20"/>
                <w:szCs w:val="20"/>
              </w:rPr>
              <w:t>2</w:t>
            </w:r>
          </w:p>
        </w:tc>
        <w:tc>
          <w:tcPr>
            <w:tcW w:w="2720" w:type="dxa"/>
          </w:tcPr>
          <w:p w14:paraId="04AE8A4C" w14:textId="5FD0736E" w:rsidR="0008604F" w:rsidRPr="009B11C5" w:rsidRDefault="0008604F" w:rsidP="0008604F">
            <w:pPr>
              <w:rPr>
                <w:sz w:val="20"/>
                <w:szCs w:val="20"/>
              </w:rPr>
            </w:pPr>
            <w:r>
              <w:rPr>
                <w:sz w:val="20"/>
                <w:szCs w:val="20"/>
              </w:rPr>
              <w:t>15. Gains and Losses in Late Adulthood</w:t>
            </w:r>
          </w:p>
        </w:tc>
        <w:tc>
          <w:tcPr>
            <w:tcW w:w="1628" w:type="dxa"/>
          </w:tcPr>
          <w:p w14:paraId="36FC4B85" w14:textId="789902E9" w:rsidR="0008604F" w:rsidRPr="009653EB" w:rsidRDefault="0008604F" w:rsidP="0008604F">
            <w:pPr>
              <w:rPr>
                <w:sz w:val="20"/>
                <w:szCs w:val="20"/>
              </w:rPr>
            </w:pPr>
            <w:r w:rsidRPr="003F212E">
              <w:rPr>
                <w:sz w:val="20"/>
                <w:szCs w:val="20"/>
              </w:rPr>
              <w:t>Broderick</w:t>
            </w:r>
            <w:r>
              <w:rPr>
                <w:sz w:val="20"/>
                <w:szCs w:val="20"/>
              </w:rPr>
              <w:t xml:space="preserve"> </w:t>
            </w:r>
            <w:r w:rsidRPr="003F212E">
              <w:rPr>
                <w:sz w:val="20"/>
                <w:szCs w:val="20"/>
              </w:rPr>
              <w:t xml:space="preserve">&amp; Blewitt, </w:t>
            </w:r>
            <w:r>
              <w:rPr>
                <w:sz w:val="20"/>
                <w:szCs w:val="20"/>
              </w:rPr>
              <w:t xml:space="preserve">Ch. </w:t>
            </w:r>
            <w:r w:rsidR="00DE3D74">
              <w:rPr>
                <w:sz w:val="20"/>
                <w:szCs w:val="20"/>
              </w:rPr>
              <w:t>15</w:t>
            </w:r>
          </w:p>
        </w:tc>
        <w:tc>
          <w:tcPr>
            <w:tcW w:w="1710" w:type="dxa"/>
          </w:tcPr>
          <w:p w14:paraId="07E9F2DB" w14:textId="2B97746B" w:rsidR="0008604F" w:rsidRPr="00A437EB" w:rsidRDefault="0008604F" w:rsidP="0008604F">
            <w:pPr>
              <w:rPr>
                <w:b/>
                <w:sz w:val="20"/>
                <w:szCs w:val="20"/>
              </w:rPr>
            </w:pPr>
          </w:p>
        </w:tc>
        <w:tc>
          <w:tcPr>
            <w:tcW w:w="1714" w:type="dxa"/>
          </w:tcPr>
          <w:p w14:paraId="35165E40" w14:textId="77777777" w:rsidR="0008604F" w:rsidRDefault="0008604F" w:rsidP="0008604F">
            <w:pPr>
              <w:jc w:val="center"/>
              <w:rPr>
                <w:sz w:val="20"/>
                <w:szCs w:val="20"/>
              </w:rPr>
            </w:pPr>
            <w:proofErr w:type="gramStart"/>
            <w:r>
              <w:rPr>
                <w:sz w:val="20"/>
              </w:rPr>
              <w:t>2.F.3.a,e</w:t>
            </w:r>
            <w:proofErr w:type="gramEnd"/>
            <w:r>
              <w:rPr>
                <w:sz w:val="20"/>
              </w:rPr>
              <w:t>,i</w:t>
            </w:r>
          </w:p>
          <w:p w14:paraId="362A9AE9" w14:textId="77777777" w:rsidR="0008604F" w:rsidRDefault="0008604F" w:rsidP="0008604F">
            <w:pPr>
              <w:jc w:val="center"/>
              <w:rPr>
                <w:sz w:val="20"/>
                <w:szCs w:val="20"/>
              </w:rPr>
            </w:pPr>
          </w:p>
        </w:tc>
      </w:tr>
      <w:tr w:rsidR="00DE3D74" w:rsidRPr="009653EB" w14:paraId="20ACECAC" w14:textId="77777777" w:rsidTr="00A535E3">
        <w:trPr>
          <w:cantSplit/>
        </w:trPr>
        <w:tc>
          <w:tcPr>
            <w:tcW w:w="846" w:type="dxa"/>
            <w:shd w:val="clear" w:color="auto" w:fill="auto"/>
          </w:tcPr>
          <w:p w14:paraId="553558F2" w14:textId="30BB0D1A" w:rsidR="00DE3D74" w:rsidRDefault="002960BA" w:rsidP="0008604F">
            <w:pPr>
              <w:jc w:val="center"/>
              <w:rPr>
                <w:rFonts w:ascii="Calibri" w:hAnsi="Calibri"/>
                <w:color w:val="000000"/>
                <w:sz w:val="20"/>
                <w:szCs w:val="20"/>
              </w:rPr>
            </w:pPr>
            <w:r>
              <w:rPr>
                <w:rFonts w:ascii="Calibri" w:hAnsi="Calibri"/>
                <w:color w:val="000000"/>
                <w:sz w:val="20"/>
                <w:szCs w:val="20"/>
              </w:rPr>
              <w:t>L25</w:t>
            </w:r>
          </w:p>
        </w:tc>
        <w:tc>
          <w:tcPr>
            <w:tcW w:w="746" w:type="dxa"/>
            <w:shd w:val="clear" w:color="auto" w:fill="auto"/>
          </w:tcPr>
          <w:p w14:paraId="7AA23059" w14:textId="77777777" w:rsidR="00DE3D74" w:rsidRPr="00520C70" w:rsidRDefault="00DE3D74" w:rsidP="0008604F">
            <w:pPr>
              <w:jc w:val="center"/>
              <w:rPr>
                <w:rFonts w:ascii="Calibri" w:hAnsi="Calibri"/>
                <w:b/>
                <w:color w:val="000000"/>
                <w:sz w:val="20"/>
                <w:szCs w:val="20"/>
              </w:rPr>
            </w:pPr>
          </w:p>
        </w:tc>
        <w:tc>
          <w:tcPr>
            <w:tcW w:w="2720" w:type="dxa"/>
          </w:tcPr>
          <w:p w14:paraId="3B25D0E0" w14:textId="7B506C00" w:rsidR="00DE3D74" w:rsidRDefault="002960BA" w:rsidP="0008604F">
            <w:pPr>
              <w:rPr>
                <w:sz w:val="20"/>
                <w:szCs w:val="20"/>
              </w:rPr>
            </w:pPr>
            <w:r w:rsidRPr="0008604F">
              <w:rPr>
                <w:i/>
                <w:iCs/>
                <w:sz w:val="20"/>
                <w:szCs w:val="20"/>
              </w:rPr>
              <w:t xml:space="preserve">Counseling Considerations in </w:t>
            </w:r>
            <w:r>
              <w:rPr>
                <w:i/>
                <w:iCs/>
                <w:sz w:val="20"/>
                <w:szCs w:val="20"/>
              </w:rPr>
              <w:t>Late Adulthood</w:t>
            </w:r>
          </w:p>
        </w:tc>
        <w:tc>
          <w:tcPr>
            <w:tcW w:w="1628" w:type="dxa"/>
          </w:tcPr>
          <w:p w14:paraId="34CAF5AC" w14:textId="415AD258" w:rsidR="00DE3D74" w:rsidRPr="003F212E" w:rsidRDefault="00DE3D74" w:rsidP="0008604F">
            <w:pPr>
              <w:rPr>
                <w:sz w:val="20"/>
                <w:szCs w:val="20"/>
              </w:rPr>
            </w:pPr>
            <w:r>
              <w:rPr>
                <w:sz w:val="20"/>
                <w:szCs w:val="20"/>
              </w:rPr>
              <w:t xml:space="preserve">Clinton &amp; </w:t>
            </w:r>
            <w:proofErr w:type="spellStart"/>
            <w:r>
              <w:rPr>
                <w:sz w:val="20"/>
                <w:szCs w:val="20"/>
              </w:rPr>
              <w:t>Sibcy</w:t>
            </w:r>
            <w:proofErr w:type="spellEnd"/>
            <w:r>
              <w:rPr>
                <w:sz w:val="20"/>
                <w:szCs w:val="20"/>
              </w:rPr>
              <w:t xml:space="preserve">, </w:t>
            </w:r>
            <w:proofErr w:type="spellStart"/>
            <w:r>
              <w:rPr>
                <w:sz w:val="20"/>
                <w:szCs w:val="20"/>
              </w:rPr>
              <w:t>Chs</w:t>
            </w:r>
            <w:proofErr w:type="spellEnd"/>
            <w:r>
              <w:rPr>
                <w:sz w:val="20"/>
                <w:szCs w:val="20"/>
              </w:rPr>
              <w:t>. 10-12</w:t>
            </w:r>
          </w:p>
        </w:tc>
        <w:tc>
          <w:tcPr>
            <w:tcW w:w="1710" w:type="dxa"/>
          </w:tcPr>
          <w:p w14:paraId="28F236DE" w14:textId="77777777" w:rsidR="00DE3D74" w:rsidRDefault="00A524DA" w:rsidP="0008604F">
            <w:pPr>
              <w:rPr>
                <w:sz w:val="20"/>
                <w:szCs w:val="20"/>
              </w:rPr>
            </w:pPr>
            <w:r>
              <w:rPr>
                <w:sz w:val="20"/>
                <w:szCs w:val="20"/>
              </w:rPr>
              <w:t>Quiz 5: Middle &amp; Late Adulthood</w:t>
            </w:r>
          </w:p>
          <w:p w14:paraId="693F8838" w14:textId="30C6AECF" w:rsidR="00A524DA" w:rsidRDefault="00A524DA" w:rsidP="0008604F">
            <w:pPr>
              <w:rPr>
                <w:sz w:val="20"/>
                <w:szCs w:val="20"/>
              </w:rPr>
            </w:pPr>
            <w:r>
              <w:rPr>
                <w:sz w:val="20"/>
                <w:szCs w:val="20"/>
              </w:rPr>
              <w:t>(</w:t>
            </w:r>
            <w:proofErr w:type="spellStart"/>
            <w:r>
              <w:rPr>
                <w:sz w:val="20"/>
                <w:szCs w:val="20"/>
              </w:rPr>
              <w:t>Chs</w:t>
            </w:r>
            <w:proofErr w:type="spellEnd"/>
            <w:r>
              <w:rPr>
                <w:sz w:val="20"/>
                <w:szCs w:val="20"/>
              </w:rPr>
              <w:t xml:space="preserve"> 13-15)</w:t>
            </w:r>
          </w:p>
        </w:tc>
        <w:tc>
          <w:tcPr>
            <w:tcW w:w="1714" w:type="dxa"/>
          </w:tcPr>
          <w:p w14:paraId="4559CA26" w14:textId="77777777" w:rsidR="00DE3D74" w:rsidRDefault="00DE3D74" w:rsidP="0008604F">
            <w:pPr>
              <w:jc w:val="center"/>
              <w:rPr>
                <w:sz w:val="20"/>
              </w:rPr>
            </w:pPr>
          </w:p>
        </w:tc>
      </w:tr>
      <w:tr w:rsidR="0008604F" w:rsidRPr="009653EB" w14:paraId="1A1D00C9" w14:textId="77777777" w:rsidTr="00A535E3">
        <w:trPr>
          <w:cantSplit/>
        </w:trPr>
        <w:tc>
          <w:tcPr>
            <w:tcW w:w="846" w:type="dxa"/>
            <w:shd w:val="clear" w:color="auto" w:fill="BFBFBF" w:themeFill="background1" w:themeFillShade="BF"/>
          </w:tcPr>
          <w:p w14:paraId="568AD736" w14:textId="77777777" w:rsidR="0008604F" w:rsidRDefault="0008604F" w:rsidP="0008604F">
            <w:pPr>
              <w:jc w:val="center"/>
              <w:rPr>
                <w:rFonts w:ascii="Calibri" w:hAnsi="Calibri"/>
                <w:color w:val="000000"/>
                <w:sz w:val="20"/>
                <w:szCs w:val="20"/>
              </w:rPr>
            </w:pPr>
          </w:p>
        </w:tc>
        <w:tc>
          <w:tcPr>
            <w:tcW w:w="746" w:type="dxa"/>
            <w:shd w:val="clear" w:color="auto" w:fill="BFBFBF" w:themeFill="background1" w:themeFillShade="BF"/>
          </w:tcPr>
          <w:p w14:paraId="276F2808" w14:textId="775881B8" w:rsidR="0008604F" w:rsidRPr="00520C70" w:rsidRDefault="00A8449C" w:rsidP="0008604F">
            <w:pPr>
              <w:jc w:val="center"/>
              <w:rPr>
                <w:rFonts w:ascii="Calibri" w:hAnsi="Calibri"/>
                <w:b/>
                <w:color w:val="000000"/>
                <w:sz w:val="20"/>
                <w:szCs w:val="20"/>
              </w:rPr>
            </w:pPr>
            <w:r>
              <w:rPr>
                <w:rFonts w:ascii="Calibri" w:hAnsi="Calibri"/>
                <w:b/>
                <w:color w:val="000000"/>
                <w:sz w:val="20"/>
                <w:szCs w:val="20"/>
              </w:rPr>
              <w:t>12/12</w:t>
            </w:r>
          </w:p>
        </w:tc>
        <w:tc>
          <w:tcPr>
            <w:tcW w:w="2720" w:type="dxa"/>
            <w:shd w:val="clear" w:color="auto" w:fill="BFBFBF" w:themeFill="background1" w:themeFillShade="BF"/>
          </w:tcPr>
          <w:p w14:paraId="6E5F8695" w14:textId="77777777" w:rsidR="0008604F" w:rsidRDefault="0008604F" w:rsidP="0008604F">
            <w:pPr>
              <w:rPr>
                <w:sz w:val="20"/>
                <w:szCs w:val="20"/>
              </w:rPr>
            </w:pPr>
            <w:r>
              <w:rPr>
                <w:sz w:val="20"/>
                <w:szCs w:val="20"/>
              </w:rPr>
              <w:t>Final Exam</w:t>
            </w:r>
          </w:p>
        </w:tc>
        <w:tc>
          <w:tcPr>
            <w:tcW w:w="1628" w:type="dxa"/>
            <w:shd w:val="clear" w:color="auto" w:fill="BFBFBF" w:themeFill="background1" w:themeFillShade="BF"/>
          </w:tcPr>
          <w:p w14:paraId="61BAED80" w14:textId="11271399" w:rsidR="0008604F" w:rsidRPr="009653EB" w:rsidRDefault="0008604F" w:rsidP="0008604F">
            <w:pPr>
              <w:rPr>
                <w:sz w:val="20"/>
                <w:szCs w:val="20"/>
              </w:rPr>
            </w:pPr>
          </w:p>
        </w:tc>
        <w:tc>
          <w:tcPr>
            <w:tcW w:w="1710" w:type="dxa"/>
            <w:shd w:val="clear" w:color="auto" w:fill="BFBFBF" w:themeFill="background1" w:themeFillShade="BF"/>
          </w:tcPr>
          <w:p w14:paraId="5B362C94" w14:textId="73D11165" w:rsidR="0008604F" w:rsidRPr="009653EB" w:rsidRDefault="00A8449C" w:rsidP="0008604F">
            <w:pPr>
              <w:rPr>
                <w:sz w:val="20"/>
                <w:szCs w:val="20"/>
              </w:rPr>
            </w:pPr>
            <w:r>
              <w:rPr>
                <w:sz w:val="20"/>
                <w:szCs w:val="20"/>
              </w:rPr>
              <w:t>Due by 11:59pm</w:t>
            </w:r>
          </w:p>
        </w:tc>
        <w:tc>
          <w:tcPr>
            <w:tcW w:w="1714" w:type="dxa"/>
            <w:shd w:val="clear" w:color="auto" w:fill="BFBFBF" w:themeFill="background1" w:themeFillShade="BF"/>
          </w:tcPr>
          <w:p w14:paraId="485904E1" w14:textId="77777777" w:rsidR="0008604F" w:rsidRPr="009653EB" w:rsidRDefault="0008604F" w:rsidP="0008604F">
            <w:pPr>
              <w:jc w:val="center"/>
              <w:rPr>
                <w:sz w:val="20"/>
                <w:szCs w:val="20"/>
              </w:rPr>
            </w:pPr>
            <w:r>
              <w:rPr>
                <w:sz w:val="20"/>
              </w:rPr>
              <w:t>2.F.3.a,b,c,d,e,f,h,i</w:t>
            </w:r>
          </w:p>
        </w:tc>
      </w:tr>
    </w:tbl>
    <w:p w14:paraId="0EDCA945" w14:textId="77777777" w:rsidR="00491124" w:rsidRPr="00DC7D17" w:rsidRDefault="00491124">
      <w:pPr>
        <w:rPr>
          <w:rFonts w:cs="Arial"/>
          <w:i/>
          <w:szCs w:val="24"/>
        </w:rPr>
      </w:pPr>
    </w:p>
    <w:p w14:paraId="7D48299B" w14:textId="77777777" w:rsidR="000A2401" w:rsidRPr="00BE4864" w:rsidRDefault="00FF173A" w:rsidP="000A2401">
      <w:pPr>
        <w:rPr>
          <w:b/>
          <w:sz w:val="28"/>
          <w:szCs w:val="28"/>
        </w:rPr>
      </w:pPr>
      <w:r>
        <w:rPr>
          <w:b/>
          <w:sz w:val="28"/>
          <w:szCs w:val="28"/>
        </w:rPr>
        <w:t>Policies</w:t>
      </w:r>
      <w:r w:rsidR="00A35BE8">
        <w:rPr>
          <w:b/>
          <w:sz w:val="28"/>
          <w:szCs w:val="28"/>
        </w:rPr>
        <w:t xml:space="preserve"> and Important Information</w:t>
      </w:r>
    </w:p>
    <w:p w14:paraId="52850EAE" w14:textId="77777777" w:rsidR="00B44F81" w:rsidRDefault="00B44F81" w:rsidP="00B44F81">
      <w:pPr>
        <w:rPr>
          <w:sz w:val="20"/>
          <w:szCs w:val="20"/>
        </w:rPr>
      </w:pPr>
    </w:p>
    <w:p w14:paraId="54711E16" w14:textId="7F78AF72" w:rsidR="00FF173A" w:rsidRPr="00FF173A" w:rsidRDefault="00B44F81" w:rsidP="00E91B94">
      <w:pPr>
        <w:spacing w:after="200" w:line="276" w:lineRule="auto"/>
        <w:rPr>
          <w:sz w:val="20"/>
          <w:szCs w:val="20"/>
        </w:rPr>
      </w:pPr>
      <w:r w:rsidRPr="00B44F81">
        <w:rPr>
          <w:b/>
          <w:bCs/>
          <w:sz w:val="20"/>
          <w:szCs w:val="20"/>
        </w:rPr>
        <w:t>APA-Style.</w:t>
      </w:r>
      <w:r>
        <w:rPr>
          <w:sz w:val="20"/>
          <w:szCs w:val="20"/>
        </w:rPr>
        <w:t xml:space="preserve"> </w:t>
      </w:r>
      <w:r w:rsidR="00914049">
        <w:rPr>
          <w:sz w:val="20"/>
          <w:szCs w:val="20"/>
        </w:rPr>
        <w:t>Unless otherwise noted, a</w:t>
      </w:r>
      <w:r w:rsidR="00FF173A" w:rsidRPr="00FF173A">
        <w:rPr>
          <w:sz w:val="20"/>
          <w:szCs w:val="20"/>
        </w:rPr>
        <w:t>ll written work must conform to American Psychological Association (APA) style</w:t>
      </w:r>
      <w:r>
        <w:rPr>
          <w:sz w:val="20"/>
          <w:szCs w:val="20"/>
        </w:rPr>
        <w:t xml:space="preserve">, </w:t>
      </w:r>
      <w:r w:rsidR="00914049">
        <w:rPr>
          <w:sz w:val="20"/>
          <w:szCs w:val="20"/>
        </w:rPr>
        <w:t>7</w:t>
      </w:r>
      <w:r w:rsidRPr="00B44F81">
        <w:rPr>
          <w:sz w:val="20"/>
          <w:szCs w:val="20"/>
          <w:vertAlign w:val="superscript"/>
        </w:rPr>
        <w:t>th</w:t>
      </w:r>
      <w:r>
        <w:rPr>
          <w:sz w:val="20"/>
          <w:szCs w:val="20"/>
        </w:rPr>
        <w:t xml:space="preserve"> edition</w:t>
      </w:r>
      <w:r w:rsidR="00FF173A" w:rsidRPr="00FF173A">
        <w:rPr>
          <w:sz w:val="20"/>
          <w:szCs w:val="20"/>
        </w:rPr>
        <w:t xml:space="preserv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129C18B9" w14:textId="77777777" w:rsidR="00B82328" w:rsidRPr="00DC7D17" w:rsidRDefault="00B82328" w:rsidP="00E91B94">
      <w:pPr>
        <w:spacing w:after="200" w:line="276" w:lineRule="auto"/>
        <w:rPr>
          <w:sz w:val="20"/>
          <w:szCs w:val="20"/>
        </w:rPr>
      </w:pPr>
      <w:r>
        <w:rPr>
          <w:b/>
          <w:sz w:val="20"/>
          <w:szCs w:val="20"/>
        </w:rPr>
        <w:t>Disability A</w:t>
      </w:r>
      <w:r w:rsidRPr="00B82328">
        <w:rPr>
          <w:b/>
          <w:sz w:val="20"/>
          <w:szCs w:val="20"/>
        </w:rPr>
        <w:t xml:space="preserve">ccommodation </w:t>
      </w:r>
      <w:r>
        <w:rPr>
          <w:b/>
          <w:sz w:val="20"/>
          <w:szCs w:val="20"/>
        </w:rPr>
        <w:t>P</w:t>
      </w:r>
      <w:r w:rsidRPr="00B82328">
        <w:rPr>
          <w:b/>
          <w:sz w:val="20"/>
          <w:szCs w:val="20"/>
        </w:rPr>
        <w:t>olicy</w:t>
      </w:r>
      <w:r>
        <w:rPr>
          <w:b/>
          <w:sz w:val="20"/>
          <w:szCs w:val="20"/>
        </w:rPr>
        <w:t>.</w:t>
      </w:r>
      <w:r w:rsidRPr="00DC7D17">
        <w:rPr>
          <w:sz w:val="20"/>
          <w:szCs w:val="20"/>
        </w:rPr>
        <w:t xml:space="preserve"> </w:t>
      </w:r>
      <w:r w:rsidR="00DC7D17" w:rsidRPr="00DC7D17">
        <w:rPr>
          <w:sz w:val="20"/>
          <w:szCs w:val="20"/>
        </w:rPr>
        <w:t>If you require a special adaptation or accommodatio</w:t>
      </w:r>
      <w:r w:rsidR="00DC7D17">
        <w:rPr>
          <w:sz w:val="20"/>
          <w:szCs w:val="20"/>
        </w:rPr>
        <w:t xml:space="preserve">n to participate fully in this </w:t>
      </w:r>
      <w:r w:rsidR="00DC7D17" w:rsidRPr="00DC7D17">
        <w:rPr>
          <w:sz w:val="20"/>
          <w:szCs w:val="20"/>
        </w:rPr>
        <w:t xml:space="preserve">course, please contact </w:t>
      </w:r>
      <w:r w:rsidR="00DC7D17">
        <w:rPr>
          <w:sz w:val="20"/>
          <w:szCs w:val="20"/>
        </w:rPr>
        <w:t xml:space="preserve">the instructor </w:t>
      </w:r>
      <w:r w:rsidR="00DC7D17" w:rsidRPr="00DC7D17">
        <w:rPr>
          <w:sz w:val="20"/>
          <w:szCs w:val="20"/>
        </w:rPr>
        <w:t xml:space="preserve">as soon as possible to discuss your request.  </w:t>
      </w:r>
      <w:r w:rsidR="00DC7D17">
        <w:rPr>
          <w:sz w:val="20"/>
          <w:szCs w:val="20"/>
        </w:rPr>
        <w:t xml:space="preserve">You must </w:t>
      </w:r>
      <w:r w:rsidR="00DC7D17" w:rsidRPr="00DC7D17">
        <w:rPr>
          <w:sz w:val="20"/>
          <w:szCs w:val="20"/>
        </w:rPr>
        <w:t xml:space="preserve">provide a letter from the </w:t>
      </w:r>
      <w:r w:rsidR="00DC7D17">
        <w:rPr>
          <w:sz w:val="20"/>
          <w:szCs w:val="20"/>
        </w:rPr>
        <w:t xml:space="preserve">Dean of Students </w:t>
      </w:r>
      <w:r w:rsidR="00DC7D17" w:rsidRPr="00DC7D17">
        <w:rPr>
          <w:sz w:val="20"/>
          <w:szCs w:val="20"/>
        </w:rPr>
        <w:t xml:space="preserve">that verifies your </w:t>
      </w:r>
      <w:r w:rsidR="00DC7D17">
        <w:rPr>
          <w:sz w:val="20"/>
          <w:szCs w:val="20"/>
        </w:rPr>
        <w:t xml:space="preserve">disabled </w:t>
      </w:r>
      <w:r w:rsidR="00DC7D17" w:rsidRPr="00DC7D17">
        <w:rPr>
          <w:sz w:val="20"/>
          <w:szCs w:val="20"/>
        </w:rPr>
        <w:t>status</w:t>
      </w:r>
      <w:r w:rsidR="00001454">
        <w:rPr>
          <w:sz w:val="20"/>
          <w:szCs w:val="20"/>
        </w:rPr>
        <w:t>.</w:t>
      </w:r>
      <w:r w:rsidR="00DC7D17" w:rsidRPr="00DC7D17">
        <w:rPr>
          <w:sz w:val="20"/>
          <w:szCs w:val="20"/>
        </w:rPr>
        <w:t xml:space="preserve"> Last minute special requests will be subject to the same late assignment policy as other students. </w:t>
      </w:r>
    </w:p>
    <w:p w14:paraId="096D25CF" w14:textId="0651C117" w:rsidR="009D12AA" w:rsidRDefault="004E72A4" w:rsidP="00E91B94">
      <w:pPr>
        <w:spacing w:after="200" w:line="276" w:lineRule="auto"/>
        <w:rPr>
          <w:sz w:val="20"/>
          <w:szCs w:val="20"/>
        </w:rPr>
      </w:pPr>
      <w:r>
        <w:rPr>
          <w:b/>
          <w:sz w:val="20"/>
          <w:szCs w:val="20"/>
        </w:rPr>
        <w:t xml:space="preserve">Access to Research Database.  </w:t>
      </w:r>
      <w:r>
        <w:rPr>
          <w:sz w:val="20"/>
          <w:szCs w:val="20"/>
        </w:rPr>
        <w:t>RTS provides</w:t>
      </w:r>
      <w:r w:rsidR="00E91B94">
        <w:rPr>
          <w:sz w:val="20"/>
          <w:szCs w:val="20"/>
        </w:rPr>
        <w:t xml:space="preserve"> MAC</w:t>
      </w:r>
      <w:r>
        <w:rPr>
          <w:sz w:val="20"/>
          <w:szCs w:val="20"/>
        </w:rPr>
        <w:t xml:space="preserve"> students</w:t>
      </w:r>
      <w:r w:rsidR="00DC7D17">
        <w:rPr>
          <w:sz w:val="20"/>
          <w:szCs w:val="20"/>
        </w:rPr>
        <w:t xml:space="preserve"> with</w:t>
      </w:r>
      <w:r>
        <w:rPr>
          <w:sz w:val="20"/>
          <w:szCs w:val="20"/>
        </w:rPr>
        <w:t xml:space="preserve"> access to the </w:t>
      </w:r>
      <w:proofErr w:type="spellStart"/>
      <w:r w:rsidR="00EA0999">
        <w:rPr>
          <w:sz w:val="20"/>
          <w:szCs w:val="20"/>
        </w:rPr>
        <w:t>PsycARTICLES</w:t>
      </w:r>
      <w:proofErr w:type="spellEnd"/>
      <w:r w:rsidR="00EA0999">
        <w:rPr>
          <w:sz w:val="20"/>
          <w:szCs w:val="20"/>
        </w:rPr>
        <w:t xml:space="preserve"> </w:t>
      </w:r>
      <w:r w:rsidR="00EA0999" w:rsidRPr="004E72A4">
        <w:rPr>
          <w:sz w:val="20"/>
          <w:szCs w:val="20"/>
        </w:rPr>
        <w:t>Collection</w:t>
      </w:r>
      <w:r w:rsidR="00EA0999">
        <w:rPr>
          <w:sz w:val="20"/>
          <w:szCs w:val="20"/>
        </w:rPr>
        <w:t xml:space="preserve"> </w:t>
      </w:r>
      <w:r>
        <w:rPr>
          <w:sz w:val="20"/>
          <w:szCs w:val="20"/>
        </w:rPr>
        <w:t xml:space="preserve">of full text journal articles. You can access this collection from computers in the library, or from your home computer by following </w:t>
      </w:r>
      <w:r w:rsidR="00520C70">
        <w:rPr>
          <w:sz w:val="20"/>
          <w:szCs w:val="20"/>
        </w:rPr>
        <w:t>instructions emailed to you</w:t>
      </w:r>
      <w:r>
        <w:rPr>
          <w:sz w:val="20"/>
          <w:szCs w:val="20"/>
        </w:rPr>
        <w:t xml:space="preserve"> </w:t>
      </w:r>
      <w:r w:rsidR="00520C70">
        <w:rPr>
          <w:sz w:val="20"/>
          <w:szCs w:val="20"/>
        </w:rPr>
        <w:t xml:space="preserve">(including a </w:t>
      </w:r>
      <w:r>
        <w:rPr>
          <w:sz w:val="20"/>
          <w:szCs w:val="20"/>
        </w:rPr>
        <w:t>username and password</w:t>
      </w:r>
      <w:r w:rsidR="00520C70">
        <w:rPr>
          <w:sz w:val="20"/>
          <w:szCs w:val="20"/>
        </w:rPr>
        <w:t>)</w:t>
      </w:r>
      <w:r>
        <w:rPr>
          <w:sz w:val="20"/>
          <w:szCs w:val="20"/>
        </w:rPr>
        <w:t xml:space="preserve">. </w:t>
      </w:r>
    </w:p>
    <w:p w14:paraId="104CC1A4" w14:textId="257C9336" w:rsidR="00FF173A" w:rsidRPr="00FF173A" w:rsidRDefault="00FF173A" w:rsidP="00E91B94">
      <w:pPr>
        <w:spacing w:after="200" w:line="276" w:lineRule="auto"/>
        <w:rPr>
          <w:sz w:val="20"/>
          <w:szCs w:val="20"/>
        </w:rPr>
      </w:pPr>
      <w:r w:rsidRPr="0042441C">
        <w:rPr>
          <w:b/>
          <w:sz w:val="20"/>
          <w:szCs w:val="20"/>
        </w:rPr>
        <w:t>Submission of work</w:t>
      </w:r>
      <w:r w:rsidRPr="00FF173A">
        <w:rPr>
          <w:sz w:val="20"/>
          <w:szCs w:val="20"/>
        </w:rPr>
        <w:t xml:space="preserve">.  </w:t>
      </w:r>
      <w:r w:rsidR="00B44F81">
        <w:rPr>
          <w:sz w:val="20"/>
          <w:szCs w:val="20"/>
        </w:rPr>
        <w:t>All assignments should be submitted via Canvas.</w:t>
      </w:r>
    </w:p>
    <w:p w14:paraId="7E71CF77" w14:textId="77777777" w:rsidR="00FF173A" w:rsidRPr="00FF173A" w:rsidRDefault="00FF173A" w:rsidP="00B44F81">
      <w:pPr>
        <w:rPr>
          <w:b/>
          <w:sz w:val="20"/>
          <w:szCs w:val="20"/>
        </w:rPr>
      </w:pPr>
      <w:r w:rsidRPr="00FF173A">
        <w:rPr>
          <w:b/>
          <w:sz w:val="20"/>
          <w:szCs w:val="20"/>
        </w:rPr>
        <w:lastRenderedPageBreak/>
        <w:t>Grading Scale:</w:t>
      </w:r>
    </w:p>
    <w:p w14:paraId="6F310642" w14:textId="77777777" w:rsidR="0042441C" w:rsidRDefault="0042441C" w:rsidP="00B44F81">
      <w:pPr>
        <w:rPr>
          <w:sz w:val="20"/>
          <w:szCs w:val="20"/>
        </w:rPr>
        <w:sectPr w:rsidR="0042441C" w:rsidSect="0019654F">
          <w:type w:val="continuous"/>
          <w:pgSz w:w="12240" w:h="15840"/>
          <w:pgMar w:top="1440" w:right="1080" w:bottom="1440" w:left="1080" w:header="720" w:footer="720" w:gutter="0"/>
          <w:cols w:space="720"/>
          <w:docGrid w:linePitch="360"/>
        </w:sectPr>
      </w:pPr>
    </w:p>
    <w:p w14:paraId="46C9FFE5" w14:textId="77777777" w:rsidR="00FF173A" w:rsidRPr="00FF173A" w:rsidRDefault="00FF173A" w:rsidP="00E91B94">
      <w:pPr>
        <w:rPr>
          <w:sz w:val="20"/>
          <w:szCs w:val="20"/>
        </w:rPr>
      </w:pPr>
      <w:r w:rsidRPr="00FF173A">
        <w:rPr>
          <w:sz w:val="20"/>
          <w:szCs w:val="20"/>
        </w:rPr>
        <w:lastRenderedPageBreak/>
        <w:t>A (97-100)</w:t>
      </w:r>
    </w:p>
    <w:p w14:paraId="4E6AE003" w14:textId="77777777" w:rsidR="00FF173A" w:rsidRPr="00FF173A" w:rsidRDefault="00FF173A" w:rsidP="00E91B94">
      <w:pPr>
        <w:rPr>
          <w:sz w:val="20"/>
          <w:szCs w:val="20"/>
        </w:rPr>
      </w:pPr>
      <w:r w:rsidRPr="00FF173A">
        <w:rPr>
          <w:sz w:val="20"/>
          <w:szCs w:val="20"/>
        </w:rPr>
        <w:t>A- (94-96)</w:t>
      </w:r>
    </w:p>
    <w:p w14:paraId="7520BB89" w14:textId="77777777" w:rsidR="00FF173A" w:rsidRPr="00FF173A" w:rsidRDefault="00FF173A" w:rsidP="00E91B94">
      <w:pPr>
        <w:rPr>
          <w:sz w:val="20"/>
          <w:szCs w:val="20"/>
        </w:rPr>
      </w:pPr>
      <w:r w:rsidRPr="00FF173A">
        <w:rPr>
          <w:sz w:val="20"/>
          <w:szCs w:val="20"/>
        </w:rPr>
        <w:t>B+ (91-93)</w:t>
      </w:r>
    </w:p>
    <w:p w14:paraId="03C77EEB" w14:textId="77777777" w:rsidR="00FF173A" w:rsidRPr="00FF173A" w:rsidRDefault="00FF173A" w:rsidP="00E91B94">
      <w:pPr>
        <w:rPr>
          <w:sz w:val="20"/>
          <w:szCs w:val="20"/>
        </w:rPr>
      </w:pPr>
      <w:r w:rsidRPr="00FF173A">
        <w:rPr>
          <w:sz w:val="20"/>
          <w:szCs w:val="20"/>
        </w:rPr>
        <w:t>B (88-90)</w:t>
      </w:r>
    </w:p>
    <w:p w14:paraId="175CB280" w14:textId="77777777" w:rsidR="00FF173A" w:rsidRPr="00FF173A" w:rsidRDefault="00FF173A" w:rsidP="00E91B94">
      <w:pPr>
        <w:rPr>
          <w:sz w:val="20"/>
          <w:szCs w:val="20"/>
        </w:rPr>
      </w:pPr>
      <w:r w:rsidRPr="00FF173A">
        <w:rPr>
          <w:sz w:val="20"/>
          <w:szCs w:val="20"/>
        </w:rPr>
        <w:lastRenderedPageBreak/>
        <w:t>B- (86-87)</w:t>
      </w:r>
    </w:p>
    <w:p w14:paraId="5A3883A8" w14:textId="77777777" w:rsidR="00FF173A" w:rsidRPr="00FF173A" w:rsidRDefault="00FF173A" w:rsidP="00E91B94">
      <w:pPr>
        <w:rPr>
          <w:sz w:val="20"/>
          <w:szCs w:val="20"/>
        </w:rPr>
      </w:pPr>
      <w:r w:rsidRPr="00FF173A">
        <w:rPr>
          <w:sz w:val="20"/>
          <w:szCs w:val="20"/>
        </w:rPr>
        <w:t>C+ (83-85)</w:t>
      </w:r>
    </w:p>
    <w:p w14:paraId="451FB5D9" w14:textId="77777777" w:rsidR="00FF173A" w:rsidRPr="00FF173A" w:rsidRDefault="00FF173A" w:rsidP="00E91B94">
      <w:pPr>
        <w:rPr>
          <w:sz w:val="20"/>
          <w:szCs w:val="20"/>
        </w:rPr>
      </w:pPr>
      <w:r w:rsidRPr="00FF173A">
        <w:rPr>
          <w:sz w:val="20"/>
          <w:szCs w:val="20"/>
        </w:rPr>
        <w:t>C (80-82)</w:t>
      </w:r>
    </w:p>
    <w:p w14:paraId="6C901C4C" w14:textId="77777777" w:rsidR="00FF173A" w:rsidRPr="00FF173A" w:rsidRDefault="00FF173A" w:rsidP="00E91B94">
      <w:pPr>
        <w:rPr>
          <w:sz w:val="20"/>
          <w:szCs w:val="20"/>
        </w:rPr>
      </w:pPr>
      <w:r w:rsidRPr="00FF173A">
        <w:rPr>
          <w:sz w:val="20"/>
          <w:szCs w:val="20"/>
        </w:rPr>
        <w:t>C- (78-79)</w:t>
      </w:r>
    </w:p>
    <w:p w14:paraId="6F9A80F9" w14:textId="77777777" w:rsidR="00FF173A" w:rsidRPr="00FF173A" w:rsidRDefault="00FF173A" w:rsidP="00E91B94">
      <w:pPr>
        <w:rPr>
          <w:sz w:val="20"/>
          <w:szCs w:val="20"/>
        </w:rPr>
      </w:pPr>
      <w:r w:rsidRPr="00FF173A">
        <w:rPr>
          <w:sz w:val="20"/>
          <w:szCs w:val="20"/>
        </w:rPr>
        <w:lastRenderedPageBreak/>
        <w:t>D+ (75-77)</w:t>
      </w:r>
    </w:p>
    <w:p w14:paraId="1552C9EB" w14:textId="77777777" w:rsidR="00FF173A" w:rsidRPr="00FF173A" w:rsidRDefault="00FF173A" w:rsidP="00E91B94">
      <w:pPr>
        <w:rPr>
          <w:sz w:val="20"/>
          <w:szCs w:val="20"/>
        </w:rPr>
      </w:pPr>
      <w:r w:rsidRPr="00FF173A">
        <w:rPr>
          <w:sz w:val="20"/>
          <w:szCs w:val="20"/>
        </w:rPr>
        <w:t>D (72-74)</w:t>
      </w:r>
    </w:p>
    <w:p w14:paraId="241900C8" w14:textId="77777777" w:rsidR="00FF173A" w:rsidRPr="00FF173A" w:rsidRDefault="00FF173A" w:rsidP="00E91B94">
      <w:pPr>
        <w:rPr>
          <w:sz w:val="20"/>
          <w:szCs w:val="20"/>
        </w:rPr>
      </w:pPr>
      <w:r w:rsidRPr="00FF173A">
        <w:rPr>
          <w:sz w:val="20"/>
          <w:szCs w:val="20"/>
        </w:rPr>
        <w:t>D- (70-71)</w:t>
      </w:r>
    </w:p>
    <w:p w14:paraId="208C8E8B" w14:textId="0F8C20CF" w:rsidR="0042441C" w:rsidRDefault="00FF173A" w:rsidP="00E91B94">
      <w:pPr>
        <w:rPr>
          <w:sz w:val="20"/>
          <w:szCs w:val="20"/>
        </w:rPr>
        <w:sectPr w:rsidR="0042441C" w:rsidSect="0042441C">
          <w:type w:val="continuous"/>
          <w:pgSz w:w="12240" w:h="15840"/>
          <w:pgMar w:top="1440" w:right="1080" w:bottom="1440" w:left="1080" w:header="720" w:footer="720" w:gutter="0"/>
          <w:cols w:num="3" w:space="720"/>
          <w:docGrid w:linePitch="360"/>
        </w:sectPr>
      </w:pPr>
      <w:r w:rsidRPr="00FF173A">
        <w:rPr>
          <w:sz w:val="20"/>
          <w:szCs w:val="20"/>
        </w:rPr>
        <w:t>F (Below 7</w:t>
      </w:r>
      <w:r w:rsidR="000D7B5C">
        <w:rPr>
          <w:sz w:val="20"/>
          <w:szCs w:val="20"/>
        </w:rPr>
        <w:t>0)</w:t>
      </w:r>
    </w:p>
    <w:p w14:paraId="4B4540BD" w14:textId="77777777" w:rsidR="0042441C" w:rsidRDefault="0042441C" w:rsidP="00E91B94">
      <w:pPr>
        <w:rPr>
          <w:sz w:val="20"/>
          <w:szCs w:val="20"/>
        </w:rPr>
        <w:sectPr w:rsidR="0042441C" w:rsidSect="0042441C">
          <w:type w:val="continuous"/>
          <w:pgSz w:w="12240" w:h="15840"/>
          <w:pgMar w:top="1440" w:right="1080" w:bottom="1440" w:left="1080" w:header="720" w:footer="720" w:gutter="0"/>
          <w:cols w:space="720"/>
          <w:docGrid w:linePitch="360"/>
        </w:sectPr>
      </w:pPr>
    </w:p>
    <w:p w14:paraId="287DB78C" w14:textId="717807F4" w:rsidR="00FF173A" w:rsidRPr="00B44F81" w:rsidRDefault="00FF173A" w:rsidP="00E91B94">
      <w:pPr>
        <w:spacing w:after="200" w:line="276" w:lineRule="auto"/>
        <w:rPr>
          <w:b/>
          <w:sz w:val="20"/>
          <w:szCs w:val="20"/>
        </w:rPr>
      </w:pPr>
      <w:r w:rsidRPr="00FF173A">
        <w:rPr>
          <w:b/>
          <w:sz w:val="20"/>
          <w:szCs w:val="20"/>
        </w:rPr>
        <w:lastRenderedPageBreak/>
        <w:t xml:space="preserve">Attendance Policy: </w:t>
      </w:r>
      <w:r w:rsidRPr="00FF173A">
        <w:rPr>
          <w:sz w:val="20"/>
          <w:szCs w:val="20"/>
        </w:rPr>
        <w:t xml:space="preserve">Regular attendance is expected and required.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1FF2D51D" w14:textId="45DD8A04" w:rsidR="00FF173A" w:rsidRPr="00B44F81" w:rsidRDefault="00FF173A" w:rsidP="00E91B94">
      <w:pPr>
        <w:spacing w:after="200" w:line="276" w:lineRule="auto"/>
        <w:rPr>
          <w:b/>
          <w:sz w:val="20"/>
          <w:szCs w:val="20"/>
        </w:rPr>
      </w:pPr>
      <w:r w:rsidRPr="00FF173A">
        <w:rPr>
          <w:b/>
          <w:sz w:val="20"/>
          <w:szCs w:val="20"/>
        </w:rPr>
        <w:t>Class Participation:</w:t>
      </w:r>
      <w:r w:rsidR="00B44F81">
        <w:rPr>
          <w:b/>
          <w:sz w:val="20"/>
          <w:szCs w:val="20"/>
        </w:rPr>
        <w:t xml:space="preserve"> </w:t>
      </w:r>
      <w:r w:rsidRPr="00FF173A">
        <w:rPr>
          <w:sz w:val="20"/>
          <w:szCs w:val="20"/>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4500BD89" w14:textId="77777777" w:rsidR="000D7B5C" w:rsidRDefault="000D7B5C">
      <w:pPr>
        <w:rPr>
          <w:b/>
          <w:sz w:val="28"/>
          <w:szCs w:val="28"/>
        </w:rPr>
      </w:pPr>
      <w:r>
        <w:rPr>
          <w:b/>
          <w:sz w:val="28"/>
          <w:szCs w:val="28"/>
        </w:rPr>
        <w:br w:type="page"/>
      </w:r>
    </w:p>
    <w:p w14:paraId="2EFD10C5" w14:textId="79E1B598" w:rsidR="00366CDF" w:rsidRDefault="00366CDF" w:rsidP="00366CDF">
      <w:pPr>
        <w:autoSpaceDE w:val="0"/>
        <w:autoSpaceDN w:val="0"/>
        <w:adjustRightInd w:val="0"/>
        <w:jc w:val="center"/>
        <w:rPr>
          <w:rFonts w:cstheme="minorHAnsi"/>
          <w:b/>
          <w:sz w:val="28"/>
        </w:rPr>
      </w:pPr>
      <w:r w:rsidRPr="00555FED">
        <w:rPr>
          <w:rFonts w:cstheme="minorHAnsi"/>
          <w:b/>
          <w:sz w:val="28"/>
        </w:rPr>
        <w:lastRenderedPageBreak/>
        <w:t xml:space="preserve">Scoring Rubric: </w:t>
      </w:r>
      <w:r w:rsidR="00914049">
        <w:rPr>
          <w:rFonts w:cstheme="minorHAnsi"/>
          <w:b/>
          <w:sz w:val="28"/>
        </w:rPr>
        <w:t>Counselor Reference Guide</w:t>
      </w:r>
    </w:p>
    <w:p w14:paraId="3D791FBF" w14:textId="77777777" w:rsidR="00366CDF" w:rsidRDefault="00366CDF" w:rsidP="00366CDF">
      <w:pPr>
        <w:autoSpaceDE w:val="0"/>
        <w:autoSpaceDN w:val="0"/>
        <w:adjustRightInd w:val="0"/>
        <w:jc w:val="center"/>
        <w:rPr>
          <w:rFonts w:cstheme="minorHAnsi"/>
          <w:b/>
          <w:sz w:val="28"/>
        </w:rPr>
      </w:pPr>
    </w:p>
    <w:p w14:paraId="6AC3B57B" w14:textId="57ADC4AA" w:rsidR="00366CDF" w:rsidRPr="00DB3108" w:rsidRDefault="00366CDF" w:rsidP="00366CDF">
      <w:pPr>
        <w:autoSpaceDE w:val="0"/>
        <w:autoSpaceDN w:val="0"/>
        <w:adjustRightInd w:val="0"/>
        <w:rPr>
          <w:rFonts w:cstheme="minorHAnsi"/>
          <w:sz w:val="24"/>
        </w:rPr>
      </w:pPr>
    </w:p>
    <w:p w14:paraId="71161A61" w14:textId="77777777" w:rsidR="00366CDF" w:rsidRPr="00DB3108" w:rsidRDefault="00366CDF" w:rsidP="00366CDF">
      <w:pPr>
        <w:autoSpaceDE w:val="0"/>
        <w:autoSpaceDN w:val="0"/>
        <w:adjustRightInd w:val="0"/>
        <w:rPr>
          <w:rFonts w:cstheme="minorHAnsi"/>
          <w:b/>
          <w:sz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047"/>
        <w:gridCol w:w="5977"/>
        <w:gridCol w:w="1984"/>
      </w:tblGrid>
      <w:tr w:rsidR="00366CDF" w:rsidRPr="005844FB" w14:paraId="168D92E2" w14:textId="77777777" w:rsidTr="00FE750E">
        <w:trPr>
          <w:trHeight w:val="422"/>
          <w:jc w:val="center"/>
        </w:trPr>
        <w:tc>
          <w:tcPr>
            <w:tcW w:w="2047" w:type="dxa"/>
            <w:shd w:val="clear" w:color="auto" w:fill="auto"/>
            <w:vAlign w:val="center"/>
          </w:tcPr>
          <w:p w14:paraId="77FEEE40"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Component</w:t>
            </w:r>
          </w:p>
        </w:tc>
        <w:tc>
          <w:tcPr>
            <w:tcW w:w="5977" w:type="dxa"/>
            <w:shd w:val="clear" w:color="auto" w:fill="auto"/>
            <w:vAlign w:val="center"/>
          </w:tcPr>
          <w:p w14:paraId="0A070690"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Expectation</w:t>
            </w:r>
          </w:p>
        </w:tc>
        <w:tc>
          <w:tcPr>
            <w:tcW w:w="1984" w:type="dxa"/>
            <w:shd w:val="clear" w:color="auto" w:fill="auto"/>
            <w:vAlign w:val="center"/>
          </w:tcPr>
          <w:p w14:paraId="4A9378C9"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Points Awarded</w:t>
            </w:r>
          </w:p>
        </w:tc>
      </w:tr>
      <w:tr w:rsidR="00366CDF" w:rsidRPr="005844FB" w14:paraId="5BA6CD45" w14:textId="77777777" w:rsidTr="00FE750E">
        <w:trPr>
          <w:trHeight w:val="621"/>
          <w:jc w:val="center"/>
        </w:trPr>
        <w:tc>
          <w:tcPr>
            <w:tcW w:w="2047" w:type="dxa"/>
            <w:shd w:val="clear" w:color="auto" w:fill="auto"/>
            <w:vAlign w:val="center"/>
          </w:tcPr>
          <w:p w14:paraId="5048B61A" w14:textId="57ED751E" w:rsidR="00366CDF" w:rsidRPr="00151479" w:rsidRDefault="00914049"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bCs/>
                <w:sz w:val="20"/>
                <w:szCs w:val="20"/>
              </w:rPr>
            </w:pPr>
            <w:r>
              <w:rPr>
                <w:rFonts w:ascii="Arial" w:eastAsia="Arial" w:hAnsi="Arial" w:cs="Arial"/>
                <w:b/>
                <w:bCs/>
                <w:sz w:val="20"/>
                <w:szCs w:val="20"/>
              </w:rPr>
              <w:t>Glossary of Terms</w:t>
            </w:r>
          </w:p>
        </w:tc>
        <w:tc>
          <w:tcPr>
            <w:tcW w:w="5977" w:type="dxa"/>
            <w:shd w:val="clear" w:color="auto" w:fill="auto"/>
            <w:vAlign w:val="center"/>
          </w:tcPr>
          <w:p w14:paraId="107EE0A9" w14:textId="0DC3B89C" w:rsidR="00366CDF" w:rsidRPr="002D6200" w:rsidRDefault="007D54A5" w:rsidP="00FE750E">
            <w:pPr>
              <w:pStyle w:val="NormalWeb"/>
              <w:spacing w:before="0" w:beforeAutospacing="0" w:after="0" w:afterAutospacing="0"/>
              <w:rPr>
                <w:rFonts w:ascii="Arial" w:hAnsi="Arial" w:cs="Arial"/>
                <w:sz w:val="18"/>
                <w:szCs w:val="20"/>
              </w:rPr>
            </w:pPr>
            <w:r>
              <w:rPr>
                <w:rFonts w:ascii="Arial" w:hAnsi="Arial" w:cs="Arial"/>
                <w:sz w:val="18"/>
                <w:szCs w:val="20"/>
              </w:rPr>
              <w:t xml:space="preserve"> </w:t>
            </w:r>
            <w:r w:rsidR="00366CDF">
              <w:rPr>
                <w:rFonts w:ascii="Arial" w:hAnsi="Arial" w:cs="Arial"/>
                <w:sz w:val="18"/>
                <w:szCs w:val="20"/>
              </w:rPr>
              <w:t xml:space="preserve"> </w:t>
            </w:r>
          </w:p>
        </w:tc>
        <w:tc>
          <w:tcPr>
            <w:tcW w:w="1984" w:type="dxa"/>
            <w:shd w:val="clear" w:color="auto" w:fill="auto"/>
            <w:vAlign w:val="center"/>
          </w:tcPr>
          <w:p w14:paraId="6E7D655F"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___ / 10</w:t>
            </w:r>
            <w:r w:rsidRPr="00151479">
              <w:rPr>
                <w:rFonts w:ascii="Arial" w:hAnsi="Arial" w:cs="Arial"/>
                <w:b/>
                <w:sz w:val="20"/>
                <w:szCs w:val="20"/>
              </w:rPr>
              <w:t xml:space="preserve"> max pts</w:t>
            </w:r>
          </w:p>
        </w:tc>
      </w:tr>
      <w:tr w:rsidR="00366CDF" w:rsidRPr="005844FB" w14:paraId="282D5BCF" w14:textId="77777777" w:rsidTr="00FE750E">
        <w:trPr>
          <w:trHeight w:val="621"/>
          <w:jc w:val="center"/>
        </w:trPr>
        <w:tc>
          <w:tcPr>
            <w:tcW w:w="2047" w:type="dxa"/>
            <w:shd w:val="clear" w:color="auto" w:fill="auto"/>
            <w:vAlign w:val="center"/>
          </w:tcPr>
          <w:p w14:paraId="291DAF4D" w14:textId="710414E9" w:rsidR="00366CDF" w:rsidRDefault="007D54A5"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Impact</w:t>
            </w:r>
          </w:p>
        </w:tc>
        <w:tc>
          <w:tcPr>
            <w:tcW w:w="5977" w:type="dxa"/>
            <w:shd w:val="clear" w:color="auto" w:fill="auto"/>
            <w:vAlign w:val="center"/>
          </w:tcPr>
          <w:p w14:paraId="72DAF1A4" w14:textId="194EF9B2" w:rsidR="00366CDF" w:rsidRPr="0003037F" w:rsidRDefault="007D54A5" w:rsidP="00FE750E">
            <w:pPr>
              <w:rPr>
                <w:rFonts w:ascii="Arial" w:hAnsi="Arial" w:cs="Arial"/>
              </w:rPr>
            </w:pPr>
            <w:r>
              <w:rPr>
                <w:rFonts w:ascii="Arial" w:hAnsi="Arial" w:cs="Arial"/>
                <w:sz w:val="18"/>
                <w:szCs w:val="18"/>
              </w:rPr>
              <w:t xml:space="preserve"> </w:t>
            </w:r>
          </w:p>
        </w:tc>
        <w:tc>
          <w:tcPr>
            <w:tcW w:w="1984" w:type="dxa"/>
            <w:shd w:val="clear" w:color="auto" w:fill="auto"/>
            <w:vAlign w:val="center"/>
          </w:tcPr>
          <w:p w14:paraId="54750428" w14:textId="77777777" w:rsidR="00366CDF"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___ / 20 </w:t>
            </w:r>
            <w:r w:rsidRPr="00151479">
              <w:rPr>
                <w:rFonts w:ascii="Arial" w:hAnsi="Arial" w:cs="Arial"/>
                <w:b/>
                <w:sz w:val="20"/>
                <w:szCs w:val="20"/>
              </w:rPr>
              <w:t>max pts</w:t>
            </w:r>
          </w:p>
        </w:tc>
      </w:tr>
      <w:tr w:rsidR="00366CDF" w:rsidRPr="005844FB" w14:paraId="1FDA0F24" w14:textId="77777777" w:rsidTr="00FE750E">
        <w:trPr>
          <w:trHeight w:val="621"/>
          <w:jc w:val="center"/>
        </w:trPr>
        <w:tc>
          <w:tcPr>
            <w:tcW w:w="2047" w:type="dxa"/>
            <w:shd w:val="clear" w:color="auto" w:fill="auto"/>
            <w:vAlign w:val="center"/>
          </w:tcPr>
          <w:p w14:paraId="6F27CF8A" w14:textId="65A569ED" w:rsidR="00366CDF" w:rsidRPr="00151479" w:rsidRDefault="007D54A5"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Possible Client Issues</w:t>
            </w:r>
          </w:p>
        </w:tc>
        <w:tc>
          <w:tcPr>
            <w:tcW w:w="5977" w:type="dxa"/>
            <w:shd w:val="clear" w:color="auto" w:fill="auto"/>
            <w:vAlign w:val="center"/>
          </w:tcPr>
          <w:p w14:paraId="6551DBF0" w14:textId="366A74A9" w:rsidR="00366CDF" w:rsidRPr="002D6200" w:rsidRDefault="007D54A5" w:rsidP="00FE750E">
            <w:pPr>
              <w:rPr>
                <w:rFonts w:ascii="Arial" w:hAnsi="Arial" w:cs="Arial"/>
                <w:sz w:val="18"/>
                <w:szCs w:val="20"/>
              </w:rPr>
            </w:pPr>
            <w:r>
              <w:rPr>
                <w:rFonts w:ascii="Arial" w:hAnsi="Arial" w:cs="Arial"/>
                <w:sz w:val="18"/>
                <w:szCs w:val="20"/>
              </w:rPr>
              <w:t xml:space="preserve"> </w:t>
            </w:r>
          </w:p>
        </w:tc>
        <w:tc>
          <w:tcPr>
            <w:tcW w:w="1984" w:type="dxa"/>
            <w:shd w:val="clear" w:color="auto" w:fill="auto"/>
            <w:vAlign w:val="center"/>
          </w:tcPr>
          <w:p w14:paraId="106F7B4E"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___ / 20 </w:t>
            </w:r>
            <w:r w:rsidRPr="00151479">
              <w:rPr>
                <w:rFonts w:ascii="Arial" w:hAnsi="Arial" w:cs="Arial"/>
                <w:b/>
                <w:sz w:val="20"/>
                <w:szCs w:val="20"/>
              </w:rPr>
              <w:t>max pts</w:t>
            </w:r>
          </w:p>
        </w:tc>
      </w:tr>
      <w:tr w:rsidR="00366CDF" w:rsidRPr="005844FB" w14:paraId="5C26216E" w14:textId="77777777" w:rsidTr="00FE750E">
        <w:trPr>
          <w:trHeight w:val="621"/>
          <w:jc w:val="center"/>
        </w:trPr>
        <w:tc>
          <w:tcPr>
            <w:tcW w:w="2047" w:type="dxa"/>
            <w:shd w:val="clear" w:color="auto" w:fill="auto"/>
            <w:vAlign w:val="center"/>
          </w:tcPr>
          <w:p w14:paraId="0B83AD93" w14:textId="19FA9EDA" w:rsidR="00366CDF" w:rsidRPr="003C075B" w:rsidRDefault="007D54A5" w:rsidP="00FE750E">
            <w:pPr>
              <w:tabs>
                <w:tab w:val="left" w:pos="1080"/>
              </w:tabs>
              <w:jc w:val="center"/>
              <w:rPr>
                <w:rFonts w:ascii="Arial" w:hAnsi="Arial" w:cs="Arial"/>
                <w:b/>
                <w:bCs/>
                <w:sz w:val="20"/>
                <w:szCs w:val="20"/>
              </w:rPr>
            </w:pPr>
            <w:r>
              <w:rPr>
                <w:rFonts w:ascii="Arial" w:hAnsi="Arial" w:cs="Arial"/>
                <w:b/>
                <w:bCs/>
                <w:sz w:val="20"/>
                <w:szCs w:val="20"/>
              </w:rPr>
              <w:t>Effective Interventions</w:t>
            </w:r>
          </w:p>
        </w:tc>
        <w:tc>
          <w:tcPr>
            <w:tcW w:w="5977" w:type="dxa"/>
            <w:shd w:val="clear" w:color="auto" w:fill="auto"/>
            <w:vAlign w:val="center"/>
          </w:tcPr>
          <w:p w14:paraId="55A69D8B" w14:textId="3B127AFE" w:rsidR="00366CDF" w:rsidRPr="002D6200" w:rsidRDefault="007D54A5" w:rsidP="00FE750E">
            <w:pPr>
              <w:rPr>
                <w:rFonts w:ascii="Arial" w:hAnsi="Arial" w:cs="Arial"/>
                <w:sz w:val="18"/>
                <w:szCs w:val="20"/>
              </w:rPr>
            </w:pPr>
            <w:r>
              <w:rPr>
                <w:rFonts w:ascii="Arial" w:hAnsi="Arial" w:cs="Arial"/>
                <w:sz w:val="18"/>
                <w:szCs w:val="20"/>
              </w:rPr>
              <w:t xml:space="preserve"> </w:t>
            </w:r>
          </w:p>
        </w:tc>
        <w:tc>
          <w:tcPr>
            <w:tcW w:w="1984" w:type="dxa"/>
            <w:shd w:val="clear" w:color="auto" w:fill="auto"/>
            <w:vAlign w:val="center"/>
          </w:tcPr>
          <w:p w14:paraId="73F6BFB9" w14:textId="77777777" w:rsidR="00366CDF" w:rsidRPr="003C075B"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___ / 20 </w:t>
            </w:r>
            <w:r w:rsidRPr="00151479">
              <w:rPr>
                <w:rFonts w:ascii="Arial" w:hAnsi="Arial" w:cs="Arial"/>
                <w:b/>
                <w:sz w:val="20"/>
                <w:szCs w:val="20"/>
              </w:rPr>
              <w:t>max pts</w:t>
            </w:r>
          </w:p>
        </w:tc>
      </w:tr>
      <w:tr w:rsidR="00366CDF" w:rsidRPr="005844FB" w14:paraId="0D30BDA1" w14:textId="77777777" w:rsidTr="00FE750E">
        <w:trPr>
          <w:trHeight w:val="621"/>
          <w:jc w:val="center"/>
        </w:trPr>
        <w:tc>
          <w:tcPr>
            <w:tcW w:w="2047" w:type="dxa"/>
            <w:shd w:val="clear" w:color="auto" w:fill="auto"/>
            <w:vAlign w:val="center"/>
          </w:tcPr>
          <w:p w14:paraId="3DDD514D" w14:textId="05A1C037" w:rsidR="00366CDF" w:rsidRPr="00151479" w:rsidRDefault="007D54A5" w:rsidP="00FE750E">
            <w:pPr>
              <w:tabs>
                <w:tab w:val="left" w:pos="1080"/>
              </w:tabs>
              <w:jc w:val="center"/>
              <w:rPr>
                <w:rFonts w:ascii="Arial" w:hAnsi="Arial" w:cs="Arial"/>
                <w:b/>
                <w:sz w:val="20"/>
                <w:szCs w:val="20"/>
              </w:rPr>
            </w:pPr>
            <w:r>
              <w:rPr>
                <w:rFonts w:ascii="Arial" w:hAnsi="Arial" w:cs="Arial"/>
                <w:b/>
                <w:sz w:val="20"/>
                <w:szCs w:val="20"/>
              </w:rPr>
              <w:t>Resources for Clients</w:t>
            </w:r>
          </w:p>
        </w:tc>
        <w:tc>
          <w:tcPr>
            <w:tcW w:w="5977" w:type="dxa"/>
            <w:shd w:val="clear" w:color="auto" w:fill="auto"/>
            <w:vAlign w:val="center"/>
          </w:tcPr>
          <w:p w14:paraId="6E84D6BA" w14:textId="00D80E4D" w:rsidR="00366CDF" w:rsidRPr="0003037F" w:rsidRDefault="007D54A5" w:rsidP="00FE750E">
            <w:pPr>
              <w:pStyle w:val="NormalWeb"/>
              <w:spacing w:before="0" w:beforeAutospacing="0" w:after="0" w:afterAutospacing="0"/>
              <w:rPr>
                <w:rFonts w:ascii="Arial" w:hAnsi="Arial" w:cs="Arial"/>
                <w:sz w:val="18"/>
                <w:szCs w:val="18"/>
              </w:rPr>
            </w:pPr>
            <w:r>
              <w:rPr>
                <w:rFonts w:ascii="Arial" w:hAnsi="Arial" w:cs="Arial"/>
                <w:sz w:val="18"/>
                <w:szCs w:val="20"/>
              </w:rPr>
              <w:t xml:space="preserve"> </w:t>
            </w:r>
          </w:p>
        </w:tc>
        <w:tc>
          <w:tcPr>
            <w:tcW w:w="1984" w:type="dxa"/>
            <w:shd w:val="clear" w:color="auto" w:fill="auto"/>
            <w:vAlign w:val="center"/>
          </w:tcPr>
          <w:p w14:paraId="792EA304" w14:textId="77777777" w:rsidR="00366CDF" w:rsidRPr="00151479" w:rsidRDefault="00366CDF" w:rsidP="00FE750E">
            <w:pPr>
              <w:rPr>
                <w:rFonts w:ascii="Arial" w:hAnsi="Arial" w:cs="Arial"/>
                <w:b/>
                <w:sz w:val="20"/>
                <w:szCs w:val="20"/>
              </w:rPr>
            </w:pPr>
            <w:r>
              <w:rPr>
                <w:rFonts w:ascii="Arial" w:hAnsi="Arial" w:cs="Arial"/>
                <w:b/>
                <w:sz w:val="20"/>
                <w:szCs w:val="20"/>
              </w:rPr>
              <w:t xml:space="preserve">___ / 20 </w:t>
            </w:r>
            <w:r w:rsidRPr="00151479">
              <w:rPr>
                <w:rFonts w:ascii="Arial" w:hAnsi="Arial" w:cs="Arial"/>
                <w:b/>
                <w:sz w:val="20"/>
                <w:szCs w:val="20"/>
              </w:rPr>
              <w:t>max pts</w:t>
            </w:r>
          </w:p>
        </w:tc>
      </w:tr>
      <w:tr w:rsidR="00366CDF" w:rsidRPr="005844FB" w14:paraId="1822F5AC" w14:textId="77777777" w:rsidTr="00FE750E">
        <w:trPr>
          <w:trHeight w:val="621"/>
          <w:jc w:val="center"/>
        </w:trPr>
        <w:tc>
          <w:tcPr>
            <w:tcW w:w="2047" w:type="dxa"/>
            <w:shd w:val="clear" w:color="auto" w:fill="auto"/>
            <w:vAlign w:val="center"/>
          </w:tcPr>
          <w:p w14:paraId="21E76FA1" w14:textId="12BFD38C" w:rsidR="00366CDF" w:rsidRPr="00151479" w:rsidRDefault="007D54A5" w:rsidP="00FE750E">
            <w:pPr>
              <w:tabs>
                <w:tab w:val="left" w:pos="1080"/>
              </w:tabs>
              <w:jc w:val="center"/>
              <w:rPr>
                <w:rFonts w:ascii="Arial" w:hAnsi="Arial" w:cs="Arial"/>
                <w:b/>
                <w:sz w:val="20"/>
                <w:szCs w:val="20"/>
              </w:rPr>
            </w:pPr>
            <w:r>
              <w:rPr>
                <w:rFonts w:ascii="Arial" w:hAnsi="Arial" w:cs="Arial"/>
                <w:b/>
                <w:sz w:val="20"/>
                <w:szCs w:val="20"/>
              </w:rPr>
              <w:t>Reference List</w:t>
            </w:r>
          </w:p>
        </w:tc>
        <w:tc>
          <w:tcPr>
            <w:tcW w:w="5977" w:type="dxa"/>
            <w:shd w:val="clear" w:color="auto" w:fill="auto"/>
            <w:vAlign w:val="center"/>
          </w:tcPr>
          <w:p w14:paraId="3E2B6545" w14:textId="7B007783" w:rsidR="00366CDF" w:rsidRPr="002D6200" w:rsidRDefault="00366CDF" w:rsidP="007D54A5">
            <w:pPr>
              <w:pStyle w:val="NormalWeb"/>
              <w:spacing w:before="0" w:beforeAutospacing="0" w:after="0" w:afterAutospacing="0"/>
              <w:rPr>
                <w:rFonts w:ascii="Arial" w:hAnsi="Arial" w:cs="Arial"/>
                <w:sz w:val="18"/>
                <w:szCs w:val="20"/>
              </w:rPr>
            </w:pPr>
          </w:p>
        </w:tc>
        <w:tc>
          <w:tcPr>
            <w:tcW w:w="1984" w:type="dxa"/>
            <w:shd w:val="clear" w:color="auto" w:fill="auto"/>
            <w:vAlign w:val="center"/>
          </w:tcPr>
          <w:p w14:paraId="21D8E056" w14:textId="77777777" w:rsidR="00366CDF" w:rsidRPr="00151479" w:rsidRDefault="00366CDF" w:rsidP="00FE750E">
            <w:pPr>
              <w:rPr>
                <w:rFonts w:ascii="Arial" w:hAnsi="Arial" w:cs="Arial"/>
                <w:b/>
                <w:sz w:val="20"/>
                <w:szCs w:val="20"/>
              </w:rPr>
            </w:pPr>
            <w:r>
              <w:rPr>
                <w:rFonts w:ascii="Arial" w:hAnsi="Arial" w:cs="Arial"/>
                <w:b/>
                <w:sz w:val="20"/>
                <w:szCs w:val="20"/>
              </w:rPr>
              <w:t>___ / 10</w:t>
            </w:r>
            <w:r w:rsidRPr="00151479">
              <w:rPr>
                <w:rFonts w:ascii="Arial" w:hAnsi="Arial" w:cs="Arial"/>
                <w:b/>
                <w:sz w:val="20"/>
                <w:szCs w:val="20"/>
              </w:rPr>
              <w:t xml:space="preserve"> max pts</w:t>
            </w:r>
          </w:p>
        </w:tc>
      </w:tr>
      <w:tr w:rsidR="00366CDF" w:rsidRPr="005844FB" w14:paraId="5661D4BB" w14:textId="77777777" w:rsidTr="00FE750E">
        <w:trPr>
          <w:trHeight w:val="550"/>
          <w:jc w:val="center"/>
        </w:trPr>
        <w:tc>
          <w:tcPr>
            <w:tcW w:w="2047" w:type="dxa"/>
            <w:shd w:val="clear" w:color="auto" w:fill="auto"/>
            <w:vAlign w:val="center"/>
          </w:tcPr>
          <w:p w14:paraId="10378454"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TOTAL</w:t>
            </w:r>
          </w:p>
          <w:p w14:paraId="3CDC50E0"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151479">
              <w:rPr>
                <w:rFonts w:ascii="Arial" w:hAnsi="Arial" w:cs="Arial"/>
                <w:b/>
                <w:sz w:val="20"/>
                <w:szCs w:val="20"/>
              </w:rPr>
              <w:t>POINTS</w:t>
            </w:r>
          </w:p>
        </w:tc>
        <w:tc>
          <w:tcPr>
            <w:tcW w:w="5977" w:type="dxa"/>
            <w:shd w:val="clear" w:color="auto" w:fill="auto"/>
            <w:vAlign w:val="center"/>
          </w:tcPr>
          <w:p w14:paraId="6B176A5A" w14:textId="77777777" w:rsidR="00366CDF" w:rsidRPr="00151479" w:rsidRDefault="00366CDF" w:rsidP="00FE750E">
            <w:pPr>
              <w:tabs>
                <w:tab w:val="left" w:pos="-1440"/>
                <w:tab w:val="left" w:pos="-720"/>
                <w:tab w:val="left" w:pos="0"/>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i/>
                <w:sz w:val="20"/>
                <w:szCs w:val="20"/>
              </w:rPr>
            </w:pPr>
            <w:r w:rsidRPr="00151479">
              <w:rPr>
                <w:rFonts w:ascii="Arial" w:hAnsi="Arial" w:cs="Arial"/>
                <w:b/>
                <w:sz w:val="20"/>
                <w:szCs w:val="20"/>
              </w:rPr>
              <w:t>Total Points:</w:t>
            </w:r>
            <w:r w:rsidRPr="00151479">
              <w:rPr>
                <w:rFonts w:ascii="Arial" w:hAnsi="Arial" w:cs="Arial"/>
                <w:i/>
                <w:sz w:val="20"/>
                <w:szCs w:val="20"/>
              </w:rPr>
              <w:t xml:space="preserve"> </w:t>
            </w:r>
          </w:p>
        </w:tc>
        <w:tc>
          <w:tcPr>
            <w:tcW w:w="1984" w:type="dxa"/>
            <w:shd w:val="clear" w:color="auto" w:fill="auto"/>
            <w:vAlign w:val="center"/>
          </w:tcPr>
          <w:p w14:paraId="7C57FBBF" w14:textId="77777777" w:rsidR="00366CDF" w:rsidRPr="00151479" w:rsidRDefault="00366CDF" w:rsidP="00FE750E">
            <w:pPr>
              <w:rPr>
                <w:rFonts w:ascii="Arial" w:hAnsi="Arial" w:cs="Arial"/>
                <w:b/>
                <w:sz w:val="20"/>
                <w:szCs w:val="20"/>
              </w:rPr>
            </w:pPr>
            <w:r w:rsidRPr="00151479">
              <w:rPr>
                <w:rFonts w:ascii="Arial" w:hAnsi="Arial" w:cs="Arial"/>
                <w:b/>
                <w:sz w:val="20"/>
                <w:szCs w:val="20"/>
              </w:rPr>
              <w:t xml:space="preserve">___ / </w:t>
            </w:r>
            <w:r>
              <w:rPr>
                <w:rFonts w:ascii="Arial" w:hAnsi="Arial" w:cs="Arial"/>
                <w:b/>
                <w:sz w:val="20"/>
                <w:szCs w:val="20"/>
              </w:rPr>
              <w:t>100</w:t>
            </w:r>
            <w:r w:rsidRPr="00151479">
              <w:rPr>
                <w:rFonts w:ascii="Arial" w:hAnsi="Arial" w:cs="Arial"/>
                <w:b/>
                <w:sz w:val="20"/>
                <w:szCs w:val="20"/>
              </w:rPr>
              <w:t xml:space="preserve"> pts</w:t>
            </w:r>
          </w:p>
        </w:tc>
      </w:tr>
    </w:tbl>
    <w:p w14:paraId="022AFE00" w14:textId="77777777" w:rsidR="00366CDF" w:rsidRPr="009A371A" w:rsidRDefault="00366CDF" w:rsidP="00366CDF">
      <w:pPr>
        <w:spacing w:after="200" w:line="276" w:lineRule="auto"/>
        <w:rPr>
          <w:rFonts w:cstheme="minorHAnsi"/>
        </w:rPr>
      </w:pPr>
    </w:p>
    <w:p w14:paraId="7AC3A0F7" w14:textId="77777777" w:rsidR="00366CDF" w:rsidRDefault="00366CDF">
      <w:pPr>
        <w:rPr>
          <w:b/>
          <w:sz w:val="28"/>
          <w:szCs w:val="28"/>
        </w:rPr>
      </w:pPr>
      <w:r>
        <w:rPr>
          <w:b/>
          <w:sz w:val="28"/>
          <w:szCs w:val="28"/>
        </w:rPr>
        <w:br w:type="page"/>
      </w:r>
    </w:p>
    <w:p w14:paraId="7C45EF06" w14:textId="4C01C3DC" w:rsidR="00520C70" w:rsidRDefault="00520C70" w:rsidP="00520C70">
      <w:pPr>
        <w:rPr>
          <w:b/>
          <w:sz w:val="28"/>
          <w:szCs w:val="28"/>
        </w:rPr>
      </w:pPr>
      <w:r>
        <w:rPr>
          <w:b/>
          <w:sz w:val="28"/>
          <w:szCs w:val="28"/>
        </w:rPr>
        <w:lastRenderedPageBreak/>
        <w:t>Student Learning Outcome Table</w:t>
      </w:r>
    </w:p>
    <w:p w14:paraId="21EFC3A6" w14:textId="794DCED4" w:rsidR="00520C70" w:rsidRDefault="00520C70" w:rsidP="00520C70">
      <w:pPr>
        <w:rPr>
          <w:sz w:val="20"/>
          <w:szCs w:val="20"/>
        </w:rPr>
      </w:pPr>
      <w:r w:rsidRPr="002356DE">
        <w:rPr>
          <w:sz w:val="20"/>
          <w:szCs w:val="20"/>
        </w:rPr>
        <w:t xml:space="preserve">The table below shows how the objectives of this course will be met, and how they relate to CACREP Standards.  Details about specific course objectives, assignments, and evaluation methods can be found in </w:t>
      </w:r>
      <w:r w:rsidR="002356DE">
        <w:rPr>
          <w:sz w:val="20"/>
          <w:szCs w:val="20"/>
        </w:rPr>
        <w:t>earlier</w:t>
      </w:r>
      <w:r w:rsidRPr="002356DE">
        <w:rPr>
          <w:sz w:val="20"/>
          <w:szCs w:val="20"/>
        </w:rPr>
        <w:t xml:space="preserve"> sections of this syllabus.</w:t>
      </w:r>
    </w:p>
    <w:p w14:paraId="39049E71" w14:textId="77777777" w:rsidR="002356DE" w:rsidRPr="002356DE" w:rsidRDefault="002356DE" w:rsidP="00520C70">
      <w:pPr>
        <w:rPr>
          <w:sz w:val="20"/>
          <w:szCs w:val="20"/>
        </w:rPr>
      </w:pPr>
    </w:p>
    <w:tbl>
      <w:tblPr>
        <w:tblStyle w:val="TableGrid"/>
        <w:tblW w:w="9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5"/>
        <w:gridCol w:w="2880"/>
        <w:gridCol w:w="2520"/>
        <w:gridCol w:w="1530"/>
        <w:gridCol w:w="1530"/>
      </w:tblGrid>
      <w:tr w:rsidR="00520C70" w:rsidRPr="00391C35" w14:paraId="08E097FB" w14:textId="77777777" w:rsidTr="002356DE">
        <w:tc>
          <w:tcPr>
            <w:tcW w:w="1075" w:type="dxa"/>
            <w:vAlign w:val="center"/>
          </w:tcPr>
          <w:p w14:paraId="0631848F" w14:textId="77777777" w:rsidR="00520C70" w:rsidRPr="00391C35" w:rsidRDefault="00520C70" w:rsidP="002356DE">
            <w:pPr>
              <w:jc w:val="center"/>
              <w:rPr>
                <w:b/>
              </w:rPr>
            </w:pPr>
            <w:r>
              <w:rPr>
                <w:b/>
              </w:rPr>
              <w:t>CACREP Standard</w:t>
            </w:r>
          </w:p>
        </w:tc>
        <w:tc>
          <w:tcPr>
            <w:tcW w:w="2880" w:type="dxa"/>
            <w:vAlign w:val="center"/>
          </w:tcPr>
          <w:p w14:paraId="34B71FD7" w14:textId="77777777" w:rsidR="00520C70" w:rsidRPr="00391C35" w:rsidRDefault="00520C70" w:rsidP="002356DE">
            <w:pPr>
              <w:jc w:val="center"/>
              <w:rPr>
                <w:b/>
              </w:rPr>
            </w:pPr>
            <w:r w:rsidRPr="00391C35">
              <w:rPr>
                <w:b/>
              </w:rPr>
              <w:t>Course Objective</w:t>
            </w:r>
          </w:p>
        </w:tc>
        <w:tc>
          <w:tcPr>
            <w:tcW w:w="2520" w:type="dxa"/>
            <w:vAlign w:val="center"/>
          </w:tcPr>
          <w:p w14:paraId="704D564A" w14:textId="5A9FE5DE" w:rsidR="00520C70" w:rsidRPr="00391C35" w:rsidRDefault="00520C70" w:rsidP="002356DE">
            <w:pPr>
              <w:jc w:val="center"/>
              <w:rPr>
                <w:b/>
              </w:rPr>
            </w:pPr>
            <w:r>
              <w:rPr>
                <w:b/>
              </w:rPr>
              <w:t>Material</w:t>
            </w:r>
            <w:r w:rsidR="000D7B5C">
              <w:rPr>
                <w:b/>
              </w:rPr>
              <w:t>s</w:t>
            </w:r>
          </w:p>
        </w:tc>
        <w:tc>
          <w:tcPr>
            <w:tcW w:w="1530" w:type="dxa"/>
            <w:vAlign w:val="center"/>
          </w:tcPr>
          <w:p w14:paraId="61F45742" w14:textId="77777777" w:rsidR="00520C70" w:rsidRDefault="00520C70" w:rsidP="002356DE">
            <w:pPr>
              <w:jc w:val="center"/>
              <w:rPr>
                <w:b/>
              </w:rPr>
            </w:pPr>
            <w:r>
              <w:rPr>
                <w:b/>
              </w:rPr>
              <w:t>Lecture</w:t>
            </w:r>
          </w:p>
        </w:tc>
        <w:tc>
          <w:tcPr>
            <w:tcW w:w="1530" w:type="dxa"/>
            <w:vAlign w:val="center"/>
          </w:tcPr>
          <w:p w14:paraId="75C45AE9" w14:textId="00BB98F7" w:rsidR="00520C70" w:rsidRPr="00391C35" w:rsidRDefault="00520C70" w:rsidP="002356DE">
            <w:pPr>
              <w:jc w:val="center"/>
              <w:rPr>
                <w:b/>
              </w:rPr>
            </w:pPr>
            <w:r>
              <w:rPr>
                <w:b/>
              </w:rPr>
              <w:t>Assignment</w:t>
            </w:r>
            <w:r w:rsidR="000D7B5C">
              <w:rPr>
                <w:b/>
              </w:rPr>
              <w:t>s</w:t>
            </w:r>
          </w:p>
        </w:tc>
      </w:tr>
      <w:tr w:rsidR="00520C70" w:rsidRPr="002801F5" w14:paraId="42776549" w14:textId="77777777" w:rsidTr="002356DE">
        <w:trPr>
          <w:trHeight w:val="864"/>
        </w:trPr>
        <w:tc>
          <w:tcPr>
            <w:tcW w:w="1075" w:type="dxa"/>
            <w:vAlign w:val="center"/>
          </w:tcPr>
          <w:p w14:paraId="2B332B10" w14:textId="77777777" w:rsidR="00520C70" w:rsidRPr="002801F5" w:rsidRDefault="00520C70" w:rsidP="002356DE">
            <w:r>
              <w:t>2.F.3.a</w:t>
            </w:r>
          </w:p>
        </w:tc>
        <w:tc>
          <w:tcPr>
            <w:tcW w:w="2880" w:type="dxa"/>
            <w:vAlign w:val="center"/>
          </w:tcPr>
          <w:p w14:paraId="6507C519"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Developmental Theories</w:t>
            </w:r>
          </w:p>
        </w:tc>
        <w:tc>
          <w:tcPr>
            <w:tcW w:w="2520" w:type="dxa"/>
            <w:vAlign w:val="center"/>
          </w:tcPr>
          <w:p w14:paraId="48950F52" w14:textId="1B4114E9" w:rsidR="00520C70" w:rsidRDefault="00520C70" w:rsidP="002356DE">
            <w:r>
              <w:t>M1</w:t>
            </w:r>
            <w:r w:rsidR="00412630">
              <w:t>.</w:t>
            </w:r>
            <w:r>
              <w:t xml:space="preserve"> </w:t>
            </w:r>
            <w:r w:rsidR="00412630">
              <w:rPr>
                <w:szCs w:val="20"/>
              </w:rPr>
              <w:t>Broderick &amp; Blewitt, 2019.</w:t>
            </w:r>
            <w:r>
              <w:t xml:space="preserve"> (</w:t>
            </w:r>
            <w:r w:rsidRPr="00412630">
              <w:rPr>
                <w:highlight w:val="yellow"/>
              </w:rPr>
              <w:t>1-24</w:t>
            </w:r>
            <w:r>
              <w:t>)</w:t>
            </w:r>
          </w:p>
          <w:p w14:paraId="76214A70" w14:textId="12C6B3C1" w:rsidR="00412630" w:rsidRPr="002801F5" w:rsidRDefault="00412630" w:rsidP="002356DE">
            <w:r>
              <w:t xml:space="preserve">M3. Clinton &amp; </w:t>
            </w:r>
            <w:proofErr w:type="spellStart"/>
            <w:r>
              <w:t>Sibcy</w:t>
            </w:r>
            <w:proofErr w:type="spellEnd"/>
            <w:r>
              <w:t xml:space="preserve">, 2009. </w:t>
            </w:r>
          </w:p>
        </w:tc>
        <w:tc>
          <w:tcPr>
            <w:tcW w:w="1530" w:type="dxa"/>
            <w:vAlign w:val="center"/>
          </w:tcPr>
          <w:p w14:paraId="76319C47" w14:textId="77777777" w:rsidR="00520C70" w:rsidRPr="002801F5" w:rsidRDefault="00520C70" w:rsidP="002356DE">
            <w:pPr>
              <w:ind w:left="355" w:hanging="360"/>
            </w:pPr>
            <w:r>
              <w:t>L1-25</w:t>
            </w:r>
          </w:p>
        </w:tc>
        <w:tc>
          <w:tcPr>
            <w:tcW w:w="1530" w:type="dxa"/>
            <w:vAlign w:val="center"/>
          </w:tcPr>
          <w:p w14:paraId="684537B7" w14:textId="72B8CD08" w:rsidR="00520C70" w:rsidRPr="002801F5" w:rsidRDefault="00520C70" w:rsidP="002356DE">
            <w:r>
              <w:t>A1,2,3</w:t>
            </w:r>
            <w:r w:rsidR="00412630">
              <w:t>,4</w:t>
            </w:r>
          </w:p>
        </w:tc>
      </w:tr>
      <w:tr w:rsidR="00520C70" w:rsidRPr="002801F5" w14:paraId="2059A399" w14:textId="77777777" w:rsidTr="002356DE">
        <w:trPr>
          <w:trHeight w:val="864"/>
        </w:trPr>
        <w:tc>
          <w:tcPr>
            <w:tcW w:w="1075" w:type="dxa"/>
            <w:vAlign w:val="center"/>
          </w:tcPr>
          <w:p w14:paraId="79757A62" w14:textId="77777777" w:rsidR="00520C70" w:rsidRPr="002801F5" w:rsidRDefault="00520C70" w:rsidP="002356DE">
            <w:r>
              <w:t>2.F.3.b</w:t>
            </w:r>
          </w:p>
        </w:tc>
        <w:tc>
          <w:tcPr>
            <w:tcW w:w="2880" w:type="dxa"/>
            <w:vAlign w:val="center"/>
          </w:tcPr>
          <w:p w14:paraId="2AE4EBC7"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Learning Theories</w:t>
            </w:r>
          </w:p>
        </w:tc>
        <w:tc>
          <w:tcPr>
            <w:tcW w:w="2520" w:type="dxa"/>
            <w:vAlign w:val="center"/>
          </w:tcPr>
          <w:p w14:paraId="2B35F39B" w14:textId="54286219" w:rsidR="00520C70" w:rsidRPr="002801F5" w:rsidRDefault="00412630" w:rsidP="002356DE">
            <w:r>
              <w:t xml:space="preserve">M1. </w:t>
            </w:r>
            <w:r>
              <w:rPr>
                <w:szCs w:val="20"/>
              </w:rPr>
              <w:t>Broderick &amp; Blewitt, 2019.</w:t>
            </w:r>
            <w:r>
              <w:t xml:space="preserve"> </w:t>
            </w:r>
            <w:r w:rsidR="00520C70">
              <w:t>(</w:t>
            </w:r>
            <w:r w:rsidR="00520C70" w:rsidRPr="00412630">
              <w:rPr>
                <w:highlight w:val="yellow"/>
              </w:rPr>
              <w:t>2</w:t>
            </w:r>
            <w:r w:rsidR="00520C70">
              <w:t>)</w:t>
            </w:r>
          </w:p>
        </w:tc>
        <w:tc>
          <w:tcPr>
            <w:tcW w:w="1530" w:type="dxa"/>
            <w:vAlign w:val="center"/>
          </w:tcPr>
          <w:p w14:paraId="4FCF51A2" w14:textId="77777777" w:rsidR="00520C70" w:rsidRPr="002801F5" w:rsidRDefault="00520C70" w:rsidP="002356DE">
            <w:r>
              <w:t>L2</w:t>
            </w:r>
          </w:p>
        </w:tc>
        <w:tc>
          <w:tcPr>
            <w:tcW w:w="1530" w:type="dxa"/>
            <w:vAlign w:val="center"/>
          </w:tcPr>
          <w:p w14:paraId="5F7B82E6" w14:textId="76ACC13C" w:rsidR="00520C70" w:rsidRPr="002801F5" w:rsidRDefault="00520C70" w:rsidP="002356DE">
            <w:r>
              <w:t>A1,</w:t>
            </w:r>
            <w:r w:rsidR="00412630">
              <w:t>4</w:t>
            </w:r>
          </w:p>
        </w:tc>
      </w:tr>
      <w:tr w:rsidR="00520C70" w:rsidRPr="002801F5" w14:paraId="36C190E4" w14:textId="77777777" w:rsidTr="002356DE">
        <w:trPr>
          <w:trHeight w:val="864"/>
        </w:trPr>
        <w:tc>
          <w:tcPr>
            <w:tcW w:w="1075" w:type="dxa"/>
            <w:vAlign w:val="center"/>
          </w:tcPr>
          <w:p w14:paraId="29E5E998" w14:textId="77777777" w:rsidR="00520C70" w:rsidRPr="002801F5" w:rsidRDefault="00520C70" w:rsidP="002356DE">
            <w:r>
              <w:t>2.F.3.c</w:t>
            </w:r>
          </w:p>
        </w:tc>
        <w:tc>
          <w:tcPr>
            <w:tcW w:w="2880" w:type="dxa"/>
            <w:vAlign w:val="center"/>
          </w:tcPr>
          <w:p w14:paraId="743F2ADB"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Personality</w:t>
            </w:r>
          </w:p>
        </w:tc>
        <w:tc>
          <w:tcPr>
            <w:tcW w:w="2520" w:type="dxa"/>
            <w:vAlign w:val="center"/>
          </w:tcPr>
          <w:p w14:paraId="365C0E11" w14:textId="162B3419" w:rsidR="00520C70" w:rsidRPr="002801F5" w:rsidRDefault="00412630" w:rsidP="002356DE">
            <w:r>
              <w:t xml:space="preserve">M1. </w:t>
            </w:r>
            <w:r>
              <w:rPr>
                <w:szCs w:val="20"/>
              </w:rPr>
              <w:t>Broderick &amp; Blewitt, 2019.</w:t>
            </w:r>
            <w:r>
              <w:t xml:space="preserve"> </w:t>
            </w:r>
            <w:r w:rsidR="00520C70">
              <w:t>(</w:t>
            </w:r>
            <w:r w:rsidR="00520C70" w:rsidRPr="00412630">
              <w:rPr>
                <w:highlight w:val="yellow"/>
              </w:rPr>
              <w:t>22</w:t>
            </w:r>
            <w:r w:rsidR="00520C70">
              <w:t>)</w:t>
            </w:r>
          </w:p>
        </w:tc>
        <w:tc>
          <w:tcPr>
            <w:tcW w:w="1530" w:type="dxa"/>
            <w:vAlign w:val="center"/>
          </w:tcPr>
          <w:p w14:paraId="04947B6B" w14:textId="77777777" w:rsidR="00520C70" w:rsidRPr="002801F5" w:rsidRDefault="00520C70" w:rsidP="002356DE">
            <w:r>
              <w:t>L23</w:t>
            </w:r>
          </w:p>
        </w:tc>
        <w:tc>
          <w:tcPr>
            <w:tcW w:w="1530" w:type="dxa"/>
            <w:vAlign w:val="center"/>
          </w:tcPr>
          <w:p w14:paraId="4F4F7829" w14:textId="3ED87EE7" w:rsidR="00520C70" w:rsidRPr="002801F5" w:rsidRDefault="00520C70" w:rsidP="002356DE">
            <w:r>
              <w:t>A1,3</w:t>
            </w:r>
            <w:r w:rsidR="00412630">
              <w:t>,4</w:t>
            </w:r>
          </w:p>
        </w:tc>
      </w:tr>
      <w:tr w:rsidR="00520C70" w:rsidRPr="002801F5" w14:paraId="6E8CF48E" w14:textId="77777777" w:rsidTr="002356DE">
        <w:trPr>
          <w:trHeight w:val="864"/>
        </w:trPr>
        <w:tc>
          <w:tcPr>
            <w:tcW w:w="1075" w:type="dxa"/>
            <w:vAlign w:val="center"/>
          </w:tcPr>
          <w:p w14:paraId="3AE0460F" w14:textId="77777777" w:rsidR="00520C70" w:rsidRPr="002801F5" w:rsidRDefault="00520C70" w:rsidP="002356DE">
            <w:r>
              <w:t>2.F.3.d</w:t>
            </w:r>
          </w:p>
        </w:tc>
        <w:tc>
          <w:tcPr>
            <w:tcW w:w="2880" w:type="dxa"/>
            <w:vAlign w:val="center"/>
          </w:tcPr>
          <w:p w14:paraId="48EC6F03"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Addiction</w:t>
            </w:r>
          </w:p>
        </w:tc>
        <w:tc>
          <w:tcPr>
            <w:tcW w:w="2520" w:type="dxa"/>
            <w:vAlign w:val="center"/>
          </w:tcPr>
          <w:p w14:paraId="316B9D75" w14:textId="3ED22985" w:rsidR="00520C70" w:rsidRPr="002801F5" w:rsidRDefault="00412630" w:rsidP="002356DE">
            <w:r>
              <w:t xml:space="preserve">M1. </w:t>
            </w:r>
            <w:r>
              <w:rPr>
                <w:szCs w:val="20"/>
              </w:rPr>
              <w:t>Broderick &amp; Blewitt, 2019.</w:t>
            </w:r>
            <w:r>
              <w:t xml:space="preserve"> </w:t>
            </w:r>
            <w:r w:rsidR="00520C70">
              <w:t>(</w:t>
            </w:r>
            <w:r w:rsidR="00520C70" w:rsidRPr="00412630">
              <w:rPr>
                <w:highlight w:val="yellow"/>
              </w:rPr>
              <w:t>3</w:t>
            </w:r>
            <w:r w:rsidR="00520C70">
              <w:t>)</w:t>
            </w:r>
          </w:p>
        </w:tc>
        <w:tc>
          <w:tcPr>
            <w:tcW w:w="1530" w:type="dxa"/>
            <w:vAlign w:val="center"/>
          </w:tcPr>
          <w:p w14:paraId="08846367" w14:textId="77777777" w:rsidR="00520C70" w:rsidRPr="002801F5" w:rsidRDefault="00520C70" w:rsidP="002356DE">
            <w:r>
              <w:t>L3,15,17,20</w:t>
            </w:r>
          </w:p>
        </w:tc>
        <w:tc>
          <w:tcPr>
            <w:tcW w:w="1530" w:type="dxa"/>
            <w:vAlign w:val="center"/>
          </w:tcPr>
          <w:p w14:paraId="59E62E59" w14:textId="2E67903E" w:rsidR="00520C70" w:rsidRPr="002801F5" w:rsidRDefault="00520C70" w:rsidP="002356DE">
            <w:r>
              <w:t>A1,2,3</w:t>
            </w:r>
            <w:r w:rsidR="00412630">
              <w:t>,4</w:t>
            </w:r>
          </w:p>
        </w:tc>
      </w:tr>
      <w:tr w:rsidR="00520C70" w:rsidRPr="002801F5" w14:paraId="50D3E2B8" w14:textId="77777777" w:rsidTr="002356DE">
        <w:trPr>
          <w:trHeight w:val="864"/>
        </w:trPr>
        <w:tc>
          <w:tcPr>
            <w:tcW w:w="1075" w:type="dxa"/>
            <w:vAlign w:val="center"/>
          </w:tcPr>
          <w:p w14:paraId="308EDED4" w14:textId="77777777" w:rsidR="00520C70" w:rsidRPr="002801F5" w:rsidRDefault="00520C70" w:rsidP="002356DE">
            <w:r>
              <w:t>2.F.3.e</w:t>
            </w:r>
          </w:p>
        </w:tc>
        <w:tc>
          <w:tcPr>
            <w:tcW w:w="2880" w:type="dxa"/>
            <w:vAlign w:val="center"/>
          </w:tcPr>
          <w:p w14:paraId="74072C93"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Biology Factors</w:t>
            </w:r>
          </w:p>
        </w:tc>
        <w:tc>
          <w:tcPr>
            <w:tcW w:w="2520" w:type="dxa"/>
            <w:vAlign w:val="center"/>
          </w:tcPr>
          <w:p w14:paraId="52460122" w14:textId="66DBB62F" w:rsidR="00520C70" w:rsidRPr="002801F5" w:rsidRDefault="00520C70" w:rsidP="002356DE">
            <w:r>
              <w:t>M1</w:t>
            </w:r>
            <w:r w:rsidR="00412630">
              <w:t>.</w:t>
            </w:r>
            <w:r>
              <w:t xml:space="preserve"> </w:t>
            </w:r>
            <w:r w:rsidR="00412630">
              <w:rPr>
                <w:szCs w:val="20"/>
              </w:rPr>
              <w:t>Broderick &amp; Blewitt, 2019</w:t>
            </w:r>
            <w:r>
              <w:t>. (</w:t>
            </w:r>
            <w:r w:rsidRPr="00412630">
              <w:rPr>
                <w:highlight w:val="yellow"/>
              </w:rPr>
              <w:t>5</w:t>
            </w:r>
            <w:r>
              <w:t>)</w:t>
            </w:r>
          </w:p>
        </w:tc>
        <w:tc>
          <w:tcPr>
            <w:tcW w:w="1530" w:type="dxa"/>
            <w:vAlign w:val="center"/>
          </w:tcPr>
          <w:p w14:paraId="62A64765" w14:textId="77777777" w:rsidR="00520C70" w:rsidRPr="002801F5" w:rsidRDefault="00520C70" w:rsidP="002356DE">
            <w:r>
              <w:t>L5,8,11,14,17,20,24</w:t>
            </w:r>
          </w:p>
        </w:tc>
        <w:tc>
          <w:tcPr>
            <w:tcW w:w="1530" w:type="dxa"/>
            <w:vAlign w:val="center"/>
          </w:tcPr>
          <w:p w14:paraId="200DE9ED" w14:textId="0AE6AC50" w:rsidR="00520C70" w:rsidRPr="002801F5" w:rsidRDefault="00520C70" w:rsidP="002356DE">
            <w:r>
              <w:t>A1,2,3</w:t>
            </w:r>
            <w:r w:rsidR="00412630">
              <w:t>,4</w:t>
            </w:r>
          </w:p>
        </w:tc>
      </w:tr>
      <w:tr w:rsidR="00520C70" w:rsidRPr="002801F5" w14:paraId="4E52495C" w14:textId="77777777" w:rsidTr="002356DE">
        <w:trPr>
          <w:trHeight w:val="864"/>
        </w:trPr>
        <w:tc>
          <w:tcPr>
            <w:tcW w:w="1075" w:type="dxa"/>
            <w:vAlign w:val="center"/>
          </w:tcPr>
          <w:p w14:paraId="6BAD7A78" w14:textId="77777777" w:rsidR="00520C70" w:rsidRPr="002801F5" w:rsidRDefault="00520C70" w:rsidP="002356DE">
            <w:r>
              <w:t>2.F.3.f</w:t>
            </w:r>
          </w:p>
        </w:tc>
        <w:tc>
          <w:tcPr>
            <w:tcW w:w="2880" w:type="dxa"/>
            <w:vAlign w:val="center"/>
          </w:tcPr>
          <w:p w14:paraId="79402E53"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Systemic and Environmental Factors</w:t>
            </w:r>
          </w:p>
        </w:tc>
        <w:tc>
          <w:tcPr>
            <w:tcW w:w="2520" w:type="dxa"/>
            <w:vAlign w:val="center"/>
          </w:tcPr>
          <w:p w14:paraId="2E3E132D" w14:textId="6C6DDF55" w:rsidR="00520C70" w:rsidRPr="002801F5" w:rsidRDefault="00412630" w:rsidP="002356DE">
            <w:r>
              <w:t xml:space="preserve">M1. </w:t>
            </w:r>
            <w:r>
              <w:rPr>
                <w:szCs w:val="20"/>
              </w:rPr>
              <w:t>Broderick &amp; Blewitt, 2019. (</w:t>
            </w:r>
            <w:r w:rsidRPr="00412630">
              <w:rPr>
                <w:szCs w:val="20"/>
                <w:highlight w:val="yellow"/>
              </w:rPr>
              <w:t>x</w:t>
            </w:r>
            <w:r>
              <w:rPr>
                <w:szCs w:val="20"/>
              </w:rPr>
              <w:t>)</w:t>
            </w:r>
          </w:p>
        </w:tc>
        <w:tc>
          <w:tcPr>
            <w:tcW w:w="1530" w:type="dxa"/>
            <w:vAlign w:val="center"/>
          </w:tcPr>
          <w:p w14:paraId="1E7263EA" w14:textId="77777777" w:rsidR="00520C70" w:rsidRPr="002801F5" w:rsidRDefault="00520C70" w:rsidP="002356DE">
            <w:r>
              <w:t>L7,10,13,16,19,22</w:t>
            </w:r>
          </w:p>
        </w:tc>
        <w:tc>
          <w:tcPr>
            <w:tcW w:w="1530" w:type="dxa"/>
            <w:vAlign w:val="center"/>
          </w:tcPr>
          <w:p w14:paraId="256FD530" w14:textId="5BD25856" w:rsidR="00520C70" w:rsidRPr="002801F5" w:rsidRDefault="00520C70" w:rsidP="002356DE">
            <w:r>
              <w:t>A1,2,3</w:t>
            </w:r>
            <w:r w:rsidR="00412630">
              <w:t>,4</w:t>
            </w:r>
          </w:p>
        </w:tc>
      </w:tr>
      <w:tr w:rsidR="00520C70" w:rsidRPr="002801F5" w14:paraId="12F68335" w14:textId="77777777" w:rsidTr="002356DE">
        <w:trPr>
          <w:trHeight w:val="864"/>
        </w:trPr>
        <w:tc>
          <w:tcPr>
            <w:tcW w:w="1075" w:type="dxa"/>
            <w:vAlign w:val="center"/>
          </w:tcPr>
          <w:p w14:paraId="45D52DBB" w14:textId="77777777" w:rsidR="00520C70" w:rsidRDefault="00520C70" w:rsidP="002356DE">
            <w:r>
              <w:t>2.F.3.g</w:t>
            </w:r>
          </w:p>
        </w:tc>
        <w:tc>
          <w:tcPr>
            <w:tcW w:w="2880" w:type="dxa"/>
            <w:vAlign w:val="center"/>
          </w:tcPr>
          <w:p w14:paraId="1E483A93" w14:textId="77777777" w:rsidR="00520C70" w:rsidRPr="009D4423" w:rsidRDefault="00520C70" w:rsidP="002356DE">
            <w:pPr>
              <w:pStyle w:val="ListParagraph"/>
              <w:numPr>
                <w:ilvl w:val="0"/>
                <w:numId w:val="10"/>
              </w:numPr>
              <w:ind w:left="522" w:hanging="540"/>
              <w:rPr>
                <w:rFonts w:cstheme="minorHAnsi"/>
              </w:rPr>
            </w:pPr>
            <w:r>
              <w:rPr>
                <w:rFonts w:cstheme="minorHAnsi"/>
              </w:rPr>
              <w:t>Trauma</w:t>
            </w:r>
          </w:p>
        </w:tc>
        <w:tc>
          <w:tcPr>
            <w:tcW w:w="2520" w:type="dxa"/>
            <w:vAlign w:val="center"/>
          </w:tcPr>
          <w:p w14:paraId="53FBD27F" w14:textId="2516F4DD" w:rsidR="00520C70" w:rsidRDefault="00520C70" w:rsidP="002356DE">
            <w:r>
              <w:t>M2</w:t>
            </w:r>
            <w:r w:rsidR="00412630">
              <w:t>.</w:t>
            </w:r>
            <w:r>
              <w:t xml:space="preserve"> Perry, 201</w:t>
            </w:r>
            <w:r w:rsidR="00412630">
              <w:t>7</w:t>
            </w:r>
            <w:r>
              <w:t>.</w:t>
            </w:r>
          </w:p>
        </w:tc>
        <w:tc>
          <w:tcPr>
            <w:tcW w:w="1530" w:type="dxa"/>
            <w:vAlign w:val="center"/>
          </w:tcPr>
          <w:p w14:paraId="7EC73BB5" w14:textId="77777777" w:rsidR="00520C70" w:rsidRDefault="00520C70" w:rsidP="002356DE">
            <w:r>
              <w:t>L10,11</w:t>
            </w:r>
          </w:p>
        </w:tc>
        <w:tc>
          <w:tcPr>
            <w:tcW w:w="1530" w:type="dxa"/>
            <w:vAlign w:val="center"/>
          </w:tcPr>
          <w:p w14:paraId="3C4A8C56" w14:textId="5D3F93EE" w:rsidR="00520C70" w:rsidRDefault="00520C70" w:rsidP="002356DE">
            <w:r>
              <w:t>A</w:t>
            </w:r>
            <w:r w:rsidR="00412630">
              <w:t>3</w:t>
            </w:r>
          </w:p>
        </w:tc>
      </w:tr>
      <w:tr w:rsidR="00520C70" w:rsidRPr="002801F5" w14:paraId="4286DE32" w14:textId="77777777" w:rsidTr="002356DE">
        <w:trPr>
          <w:trHeight w:val="864"/>
        </w:trPr>
        <w:tc>
          <w:tcPr>
            <w:tcW w:w="1075" w:type="dxa"/>
            <w:vAlign w:val="center"/>
          </w:tcPr>
          <w:p w14:paraId="16143211" w14:textId="77777777" w:rsidR="00520C70" w:rsidRDefault="00520C70" w:rsidP="002356DE">
            <w:r>
              <w:t>2.F.3.h</w:t>
            </w:r>
          </w:p>
        </w:tc>
        <w:tc>
          <w:tcPr>
            <w:tcW w:w="2880" w:type="dxa"/>
            <w:vAlign w:val="center"/>
          </w:tcPr>
          <w:p w14:paraId="1FD1774A" w14:textId="77777777" w:rsidR="00520C70" w:rsidRPr="009D4423" w:rsidRDefault="00520C70" w:rsidP="002356DE">
            <w:pPr>
              <w:pStyle w:val="ListParagraph"/>
              <w:numPr>
                <w:ilvl w:val="0"/>
                <w:numId w:val="10"/>
              </w:numPr>
              <w:ind w:left="522" w:hanging="522"/>
              <w:rPr>
                <w:rFonts w:cstheme="minorHAnsi"/>
              </w:rPr>
            </w:pPr>
            <w:r w:rsidRPr="00C06D6B">
              <w:rPr>
                <w:rFonts w:cstheme="minorHAnsi"/>
              </w:rPr>
              <w:t>Differing Abilities</w:t>
            </w:r>
          </w:p>
        </w:tc>
        <w:tc>
          <w:tcPr>
            <w:tcW w:w="2520" w:type="dxa"/>
            <w:vAlign w:val="center"/>
          </w:tcPr>
          <w:p w14:paraId="41DA25CD" w14:textId="0F3649CA" w:rsidR="00520C70" w:rsidRDefault="00520C70" w:rsidP="002356DE">
            <w:r>
              <w:t>M</w:t>
            </w:r>
            <w:r w:rsidR="00412630">
              <w:t>4.</w:t>
            </w:r>
            <w:r>
              <w:t xml:space="preserve"> Woods, et al., 2007.</w:t>
            </w:r>
          </w:p>
        </w:tc>
        <w:tc>
          <w:tcPr>
            <w:tcW w:w="1530" w:type="dxa"/>
            <w:vAlign w:val="center"/>
          </w:tcPr>
          <w:p w14:paraId="68E91418" w14:textId="77777777" w:rsidR="00520C70" w:rsidRDefault="00520C70" w:rsidP="002356DE">
            <w:r>
              <w:t>L3,4</w:t>
            </w:r>
          </w:p>
        </w:tc>
        <w:tc>
          <w:tcPr>
            <w:tcW w:w="1530" w:type="dxa"/>
            <w:vAlign w:val="center"/>
          </w:tcPr>
          <w:p w14:paraId="50B4C8C4" w14:textId="1F338114" w:rsidR="00520C70" w:rsidRDefault="00520C70" w:rsidP="002356DE">
            <w:r>
              <w:t>A</w:t>
            </w:r>
            <w:r w:rsidR="00412630">
              <w:t>2,</w:t>
            </w:r>
            <w:r>
              <w:t>4</w:t>
            </w:r>
          </w:p>
        </w:tc>
      </w:tr>
      <w:tr w:rsidR="00520C70" w:rsidRPr="002801F5" w14:paraId="2B7A6C74" w14:textId="77777777" w:rsidTr="002356DE">
        <w:trPr>
          <w:trHeight w:val="864"/>
        </w:trPr>
        <w:tc>
          <w:tcPr>
            <w:tcW w:w="1075" w:type="dxa"/>
            <w:vAlign w:val="center"/>
          </w:tcPr>
          <w:p w14:paraId="4B06F995" w14:textId="77777777" w:rsidR="00520C70" w:rsidRPr="002801F5" w:rsidRDefault="00520C70" w:rsidP="002356DE">
            <w:r>
              <w:t>2.F.3.i</w:t>
            </w:r>
          </w:p>
        </w:tc>
        <w:tc>
          <w:tcPr>
            <w:tcW w:w="2880" w:type="dxa"/>
            <w:vAlign w:val="center"/>
          </w:tcPr>
          <w:p w14:paraId="65A1A5AA" w14:textId="77777777" w:rsidR="00520C70" w:rsidRPr="00F641B0" w:rsidRDefault="00520C70" w:rsidP="002356DE">
            <w:pPr>
              <w:pStyle w:val="ListParagraph"/>
              <w:numPr>
                <w:ilvl w:val="0"/>
                <w:numId w:val="10"/>
              </w:numPr>
              <w:ind w:left="506" w:hanging="506"/>
              <w:rPr>
                <w:rFonts w:cstheme="minorHAnsi"/>
              </w:rPr>
            </w:pPr>
            <w:r w:rsidRPr="009D4423">
              <w:rPr>
                <w:rFonts w:cstheme="minorHAnsi"/>
              </w:rPr>
              <w:t>Resilience</w:t>
            </w:r>
          </w:p>
        </w:tc>
        <w:tc>
          <w:tcPr>
            <w:tcW w:w="2520" w:type="dxa"/>
            <w:vAlign w:val="center"/>
          </w:tcPr>
          <w:p w14:paraId="055D511D" w14:textId="68C95496" w:rsidR="00520C70" w:rsidRPr="002801F5" w:rsidRDefault="00412630" w:rsidP="002356DE">
            <w:r>
              <w:t xml:space="preserve">M1. </w:t>
            </w:r>
            <w:r>
              <w:rPr>
                <w:szCs w:val="20"/>
              </w:rPr>
              <w:t>Broderick &amp; Blewitt, 2019.</w:t>
            </w:r>
          </w:p>
        </w:tc>
        <w:tc>
          <w:tcPr>
            <w:tcW w:w="1530" w:type="dxa"/>
            <w:vAlign w:val="center"/>
          </w:tcPr>
          <w:p w14:paraId="67FD7DA8" w14:textId="77777777" w:rsidR="00520C70" w:rsidRPr="002801F5" w:rsidRDefault="00520C70" w:rsidP="002356DE">
            <w:r>
              <w:t>L2-25</w:t>
            </w:r>
          </w:p>
        </w:tc>
        <w:tc>
          <w:tcPr>
            <w:tcW w:w="1530" w:type="dxa"/>
            <w:vAlign w:val="center"/>
          </w:tcPr>
          <w:p w14:paraId="02CA71BF" w14:textId="6B5B3B70" w:rsidR="00520C70" w:rsidRPr="002801F5" w:rsidRDefault="00520C70" w:rsidP="002356DE">
            <w:r>
              <w:t>A1,2,3</w:t>
            </w:r>
            <w:r w:rsidR="00412630">
              <w:t>,4</w:t>
            </w:r>
          </w:p>
        </w:tc>
      </w:tr>
    </w:tbl>
    <w:p w14:paraId="52C63661" w14:textId="77777777" w:rsidR="00893126" w:rsidRDefault="00893126" w:rsidP="00520C70">
      <w:pPr>
        <w:rPr>
          <w:szCs w:val="20"/>
        </w:rPr>
      </w:pPr>
    </w:p>
    <w:p w14:paraId="129F5D3C" w14:textId="0E4A4859" w:rsidR="00520C70" w:rsidRDefault="00520C70" w:rsidP="00520C70">
      <w:r>
        <w:rPr>
          <w:szCs w:val="20"/>
        </w:rPr>
        <w:t>* Textbook chapters are denoted in parenthesis</w:t>
      </w:r>
    </w:p>
    <w:p w14:paraId="4B8C5D8A" w14:textId="4EA347C5" w:rsidR="00001454" w:rsidRDefault="00001454" w:rsidP="00E91B94">
      <w:pPr>
        <w:spacing w:after="200" w:line="276" w:lineRule="auto"/>
        <w:rPr>
          <w:sz w:val="20"/>
          <w:szCs w:val="20"/>
        </w:rPr>
      </w:pPr>
    </w:p>
    <w:p w14:paraId="6905345E" w14:textId="242BA9AF" w:rsidR="00614100" w:rsidRDefault="00614100" w:rsidP="00E91B94">
      <w:pPr>
        <w:spacing w:after="200" w:line="276" w:lineRule="auto"/>
        <w:rPr>
          <w:sz w:val="20"/>
          <w:szCs w:val="20"/>
        </w:rPr>
      </w:pPr>
    </w:p>
    <w:p w14:paraId="3A1959D8" w14:textId="707DE48E" w:rsidR="00614100" w:rsidRDefault="00614100" w:rsidP="00E91B94">
      <w:pPr>
        <w:spacing w:after="200" w:line="276" w:lineRule="auto"/>
        <w:rPr>
          <w:sz w:val="20"/>
          <w:szCs w:val="20"/>
        </w:rPr>
      </w:pPr>
    </w:p>
    <w:p w14:paraId="28B60F34" w14:textId="1A33FE91" w:rsidR="00614100" w:rsidRDefault="00614100" w:rsidP="00E91B94">
      <w:pPr>
        <w:spacing w:after="200" w:line="276" w:lineRule="auto"/>
        <w:rPr>
          <w:sz w:val="20"/>
          <w:szCs w:val="20"/>
        </w:rPr>
      </w:pPr>
    </w:p>
    <w:p w14:paraId="57B9C9E1" w14:textId="39000C8C" w:rsidR="00614100" w:rsidRDefault="00614100" w:rsidP="00E91B94">
      <w:pPr>
        <w:spacing w:after="200" w:line="276" w:lineRule="auto"/>
        <w:rPr>
          <w:sz w:val="20"/>
          <w:szCs w:val="20"/>
        </w:rPr>
      </w:pPr>
    </w:p>
    <w:p w14:paraId="51EE2BFA" w14:textId="6FAD1596" w:rsidR="00614100" w:rsidRDefault="00614100" w:rsidP="00E91B94">
      <w:pPr>
        <w:spacing w:after="200" w:line="276" w:lineRule="auto"/>
        <w:rPr>
          <w:sz w:val="20"/>
          <w:szCs w:val="20"/>
        </w:rPr>
      </w:pPr>
    </w:p>
    <w:p w14:paraId="5E22079D" w14:textId="240EC11B" w:rsidR="00614100" w:rsidRDefault="00614100" w:rsidP="00614100">
      <w:pPr>
        <w:spacing w:after="200" w:line="276" w:lineRule="auto"/>
        <w:jc w:val="center"/>
        <w:rPr>
          <w:sz w:val="20"/>
          <w:szCs w:val="20"/>
        </w:rPr>
      </w:pPr>
      <w:r w:rsidRPr="000744D3">
        <w:rPr>
          <w:noProof/>
        </w:rPr>
        <w:lastRenderedPageBreak/>
        <w:drawing>
          <wp:inline distT="0" distB="0" distL="0" distR="0" wp14:anchorId="3A36A8D1" wp14:editId="5DF7303E">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58858BFB" w14:textId="77777777" w:rsidR="00614100" w:rsidRDefault="00614100" w:rsidP="00614100">
      <w:pPr>
        <w:pStyle w:val="NoSpacing"/>
        <w:jc w:val="center"/>
        <w:rPr>
          <w:b/>
          <w:sz w:val="24"/>
          <w:szCs w:val="24"/>
        </w:rPr>
      </w:pPr>
      <w:r>
        <w:rPr>
          <w:b/>
          <w:sz w:val="24"/>
          <w:szCs w:val="24"/>
        </w:rPr>
        <w:t>Course Objectives Related to MAC* Student Learning Outcomes</w:t>
      </w:r>
    </w:p>
    <w:p w14:paraId="1657F700" w14:textId="3C5EEE66" w:rsidR="00614100" w:rsidRPr="00614100" w:rsidRDefault="00614100" w:rsidP="00614100">
      <w:pPr>
        <w:pStyle w:val="NoSpacing"/>
        <w:rPr>
          <w:sz w:val="21"/>
          <w:szCs w:val="21"/>
        </w:rPr>
      </w:pPr>
      <w:r w:rsidRPr="00614100">
        <w:rPr>
          <w:sz w:val="21"/>
          <w:szCs w:val="21"/>
        </w:rPr>
        <w:t xml:space="preserve">Course:  </w:t>
      </w:r>
      <w:r w:rsidRPr="00614100">
        <w:rPr>
          <w:sz w:val="21"/>
          <w:szCs w:val="21"/>
        </w:rPr>
        <w:tab/>
        <w:t>PSY51</w:t>
      </w:r>
      <w:r w:rsidR="0005103C">
        <w:rPr>
          <w:sz w:val="21"/>
          <w:szCs w:val="21"/>
        </w:rPr>
        <w:t>30</w:t>
      </w:r>
      <w:r w:rsidRPr="00614100">
        <w:rPr>
          <w:sz w:val="21"/>
          <w:szCs w:val="21"/>
        </w:rPr>
        <w:t xml:space="preserve"> Human Growth &amp; Development</w:t>
      </w:r>
    </w:p>
    <w:p w14:paraId="47AB742C" w14:textId="2BFFCCDF" w:rsidR="00614100" w:rsidRPr="00614100" w:rsidRDefault="00614100" w:rsidP="00614100">
      <w:pPr>
        <w:pStyle w:val="NoSpacing"/>
        <w:rPr>
          <w:sz w:val="16"/>
          <w:szCs w:val="16"/>
        </w:rPr>
      </w:pPr>
      <w:r w:rsidRPr="00614100">
        <w:rPr>
          <w:sz w:val="21"/>
          <w:szCs w:val="21"/>
        </w:rPr>
        <w:t>Professor:</w:t>
      </w:r>
      <w:r w:rsidRPr="00614100">
        <w:rPr>
          <w:sz w:val="21"/>
          <w:szCs w:val="21"/>
        </w:rPr>
        <w:tab/>
        <w:t>Elizabeth Pennock</w:t>
      </w:r>
      <w:r w:rsidRPr="00614100">
        <w:rPr>
          <w:sz w:val="21"/>
          <w:szCs w:val="21"/>
        </w:rPr>
        <w:tab/>
      </w:r>
    </w:p>
    <w:p w14:paraId="1794862B" w14:textId="09786ABD" w:rsidR="00614100" w:rsidRPr="00614100" w:rsidRDefault="00614100" w:rsidP="00614100">
      <w:pPr>
        <w:pStyle w:val="NoSpacing"/>
        <w:tabs>
          <w:tab w:val="left" w:pos="720"/>
          <w:tab w:val="left" w:pos="1440"/>
          <w:tab w:val="left" w:pos="2160"/>
          <w:tab w:val="center" w:pos="5040"/>
        </w:tabs>
        <w:rPr>
          <w:sz w:val="16"/>
          <w:szCs w:val="16"/>
        </w:rPr>
      </w:pPr>
      <w:r w:rsidRPr="00614100">
        <w:rPr>
          <w:sz w:val="21"/>
          <w:szCs w:val="21"/>
        </w:rPr>
        <w:t>Campus:</w:t>
      </w:r>
      <w:r w:rsidRPr="00614100">
        <w:rPr>
          <w:sz w:val="21"/>
          <w:szCs w:val="21"/>
        </w:rPr>
        <w:tab/>
        <w:t>Orlando</w:t>
      </w:r>
      <w:r w:rsidRPr="00614100">
        <w:rPr>
          <w:sz w:val="21"/>
          <w:szCs w:val="21"/>
        </w:rPr>
        <w:tab/>
      </w:r>
      <w:r w:rsidRPr="00614100">
        <w:rPr>
          <w:sz w:val="21"/>
          <w:szCs w:val="21"/>
        </w:rPr>
        <w:tab/>
      </w:r>
    </w:p>
    <w:p w14:paraId="37EBCC5B" w14:textId="6766CCFA" w:rsidR="00614100" w:rsidRPr="00614100" w:rsidRDefault="00614100" w:rsidP="00614100">
      <w:pPr>
        <w:pStyle w:val="NoSpacing"/>
        <w:rPr>
          <w:sz w:val="16"/>
          <w:szCs w:val="16"/>
        </w:rPr>
      </w:pPr>
      <w:r w:rsidRPr="00614100">
        <w:rPr>
          <w:sz w:val="21"/>
          <w:szCs w:val="21"/>
        </w:rPr>
        <w:t>Date:</w:t>
      </w:r>
      <w:r w:rsidRPr="00614100">
        <w:rPr>
          <w:sz w:val="21"/>
          <w:szCs w:val="21"/>
        </w:rPr>
        <w:tab/>
      </w:r>
      <w:r w:rsidRPr="00614100">
        <w:rPr>
          <w:sz w:val="21"/>
          <w:szCs w:val="21"/>
        </w:rPr>
        <w:tab/>
      </w:r>
      <w:r w:rsidR="0099019F">
        <w:rPr>
          <w:sz w:val="21"/>
          <w:szCs w:val="21"/>
        </w:rPr>
        <w:t xml:space="preserve">Fall </w:t>
      </w:r>
      <w:r w:rsidR="006D768F">
        <w:rPr>
          <w:sz w:val="21"/>
          <w:szCs w:val="21"/>
        </w:rPr>
        <w:t>2020</w:t>
      </w:r>
    </w:p>
    <w:p w14:paraId="6C0B8364" w14:textId="77777777" w:rsidR="00614100" w:rsidRPr="00E1336F" w:rsidRDefault="00614100" w:rsidP="00614100">
      <w:pPr>
        <w:pStyle w:val="NoSpacing"/>
        <w:jc w:val="center"/>
        <w:rPr>
          <w:b/>
          <w:sz w:val="18"/>
          <w:szCs w:val="18"/>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747"/>
        <w:gridCol w:w="1350"/>
        <w:gridCol w:w="2700"/>
      </w:tblGrid>
      <w:tr w:rsidR="00614100" w:rsidRPr="009B22DE" w14:paraId="5E97FD76" w14:textId="77777777" w:rsidTr="00614100">
        <w:trPr>
          <w:trHeight w:val="1133"/>
        </w:trPr>
        <w:tc>
          <w:tcPr>
            <w:tcW w:w="6205" w:type="dxa"/>
            <w:gridSpan w:val="2"/>
            <w:tcBorders>
              <w:right w:val="single" w:sz="4" w:space="0" w:color="auto"/>
            </w:tcBorders>
          </w:tcPr>
          <w:p w14:paraId="10BC8659" w14:textId="77777777" w:rsidR="00614100" w:rsidRDefault="00614100" w:rsidP="00FE750E">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2B7AB0EA" w14:textId="77777777" w:rsidR="00614100" w:rsidRPr="00203D5D" w:rsidRDefault="00614100" w:rsidP="00FE750E">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1350" w:type="dxa"/>
            <w:tcBorders>
              <w:right w:val="single" w:sz="4" w:space="0" w:color="auto"/>
            </w:tcBorders>
          </w:tcPr>
          <w:p w14:paraId="1CE1DDC6" w14:textId="77777777" w:rsidR="00614100" w:rsidRDefault="00614100" w:rsidP="00FE750E">
            <w:pPr>
              <w:pStyle w:val="NoSpacing"/>
              <w:jc w:val="center"/>
              <w:rPr>
                <w:b/>
                <w:sz w:val="28"/>
                <w:szCs w:val="28"/>
                <w:u w:val="single"/>
              </w:rPr>
            </w:pPr>
            <w:r>
              <w:rPr>
                <w:b/>
                <w:sz w:val="28"/>
                <w:szCs w:val="28"/>
                <w:u w:val="single"/>
              </w:rPr>
              <w:t>Rubric</w:t>
            </w:r>
          </w:p>
          <w:p w14:paraId="35E61840" w14:textId="4C1ADDB4" w:rsidR="00614100" w:rsidRPr="00F111D7" w:rsidRDefault="00614100" w:rsidP="00614100">
            <w:pPr>
              <w:pStyle w:val="NoSpacing"/>
              <w:ind w:left="342"/>
              <w:rPr>
                <w:b/>
                <w:sz w:val="18"/>
                <w:szCs w:val="18"/>
              </w:rPr>
            </w:pPr>
            <w:r>
              <w:rPr>
                <w:b/>
                <w:sz w:val="13"/>
                <w:szCs w:val="13"/>
              </w:rPr>
              <w:t>Strong, Moderate, Minimal, None</w:t>
            </w:r>
          </w:p>
        </w:tc>
        <w:tc>
          <w:tcPr>
            <w:tcW w:w="2700" w:type="dxa"/>
            <w:tcBorders>
              <w:right w:val="single" w:sz="4" w:space="0" w:color="auto"/>
            </w:tcBorders>
          </w:tcPr>
          <w:p w14:paraId="573D1D40" w14:textId="77777777" w:rsidR="00614100" w:rsidRPr="004036B5" w:rsidRDefault="00614100" w:rsidP="00FE750E">
            <w:pPr>
              <w:pStyle w:val="NoSpacing"/>
              <w:jc w:val="center"/>
              <w:rPr>
                <w:b/>
                <w:sz w:val="28"/>
                <w:szCs w:val="28"/>
                <w:u w:val="single"/>
              </w:rPr>
            </w:pPr>
            <w:r>
              <w:rPr>
                <w:b/>
                <w:sz w:val="28"/>
                <w:szCs w:val="28"/>
                <w:u w:val="single"/>
              </w:rPr>
              <w:t>Mini-Justification</w:t>
            </w:r>
          </w:p>
        </w:tc>
      </w:tr>
      <w:tr w:rsidR="00614100" w:rsidRPr="009B22DE" w14:paraId="18532317" w14:textId="77777777" w:rsidTr="00FE750E">
        <w:tc>
          <w:tcPr>
            <w:tcW w:w="1458" w:type="dxa"/>
            <w:tcBorders>
              <w:right w:val="single" w:sz="4" w:space="0" w:color="auto"/>
            </w:tcBorders>
          </w:tcPr>
          <w:p w14:paraId="07E37036" w14:textId="77777777" w:rsidR="00614100" w:rsidRPr="00614100" w:rsidRDefault="00614100" w:rsidP="00FE750E">
            <w:pPr>
              <w:pStyle w:val="NoSpacing"/>
              <w:rPr>
                <w:b/>
                <w:sz w:val="18"/>
                <w:szCs w:val="18"/>
              </w:rPr>
            </w:pPr>
            <w:r w:rsidRPr="00614100">
              <w:rPr>
                <w:b/>
                <w:sz w:val="18"/>
                <w:szCs w:val="18"/>
              </w:rPr>
              <w:t>Professional Counseling Orientation &amp; Ethical Practice</w:t>
            </w:r>
          </w:p>
        </w:tc>
        <w:tc>
          <w:tcPr>
            <w:tcW w:w="4747" w:type="dxa"/>
            <w:tcBorders>
              <w:left w:val="single" w:sz="4" w:space="0" w:color="auto"/>
              <w:right w:val="single" w:sz="4" w:space="0" w:color="auto"/>
            </w:tcBorders>
          </w:tcPr>
          <w:p w14:paraId="3B548103" w14:textId="77777777" w:rsidR="00614100" w:rsidRPr="00614100" w:rsidRDefault="00614100" w:rsidP="00FE750E">
            <w:pPr>
              <w:pStyle w:val="NoSpacing"/>
              <w:rPr>
                <w:sz w:val="16"/>
                <w:szCs w:val="16"/>
              </w:rPr>
            </w:pPr>
            <w:r w:rsidRPr="00614100">
              <w:rPr>
                <w:rFonts w:ascii="Times New Roman" w:hAnsi="Times New Roman"/>
                <w:color w:val="000000"/>
                <w:sz w:val="16"/>
                <w:szCs w:val="16"/>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614100">
              <w:rPr>
                <w:rFonts w:ascii="Times New Roman" w:hAnsi="Times New Roman"/>
                <w:bCs/>
                <w:iCs/>
                <w:color w:val="000000"/>
                <w:sz w:val="16"/>
                <w:szCs w:val="16"/>
              </w:rPr>
              <w:t>Reformed</w:t>
            </w:r>
            <w:r w:rsidRPr="00614100">
              <w:rPr>
                <w:rFonts w:ascii="Times New Roman" w:hAnsi="Times New Roman"/>
                <w:iCs/>
                <w:color w:val="000000"/>
                <w:sz w:val="16"/>
                <w:szCs w:val="16"/>
              </w:rPr>
              <w:t xml:space="preserve">, </w:t>
            </w:r>
            <w:r w:rsidRPr="00614100">
              <w:rPr>
                <w:rFonts w:ascii="Times New Roman" w:hAnsi="Times New Roman"/>
                <w:color w:val="000000"/>
                <w:sz w:val="16"/>
                <w:szCs w:val="16"/>
              </w:rPr>
              <w:t>biblical and theological framework for counseling.</w:t>
            </w:r>
          </w:p>
        </w:tc>
        <w:tc>
          <w:tcPr>
            <w:tcW w:w="1350" w:type="dxa"/>
            <w:tcBorders>
              <w:left w:val="single" w:sz="4" w:space="0" w:color="auto"/>
              <w:right w:val="single" w:sz="4" w:space="0" w:color="auto"/>
            </w:tcBorders>
          </w:tcPr>
          <w:p w14:paraId="33E62F2D"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Moderate</w:t>
            </w:r>
          </w:p>
        </w:tc>
        <w:tc>
          <w:tcPr>
            <w:tcW w:w="2700" w:type="dxa"/>
            <w:tcBorders>
              <w:left w:val="single" w:sz="4" w:space="0" w:color="auto"/>
            </w:tcBorders>
          </w:tcPr>
          <w:p w14:paraId="20AC9815"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 xml:space="preserve">Knowledge of normal human development across the lifespan is needed to be an effective counselor and informs ethics, career development, and advocacy.  </w:t>
            </w:r>
          </w:p>
        </w:tc>
      </w:tr>
      <w:tr w:rsidR="00614100" w:rsidRPr="009B22DE" w14:paraId="3A3A072B" w14:textId="77777777" w:rsidTr="00FE750E">
        <w:tc>
          <w:tcPr>
            <w:tcW w:w="1458" w:type="dxa"/>
            <w:tcBorders>
              <w:right w:val="single" w:sz="4" w:space="0" w:color="auto"/>
            </w:tcBorders>
          </w:tcPr>
          <w:p w14:paraId="4875EB71" w14:textId="77777777" w:rsidR="00614100" w:rsidRPr="00614100" w:rsidRDefault="00614100" w:rsidP="00FE750E">
            <w:pPr>
              <w:pStyle w:val="NoSpacing"/>
              <w:rPr>
                <w:b/>
                <w:sz w:val="18"/>
                <w:szCs w:val="18"/>
              </w:rPr>
            </w:pPr>
            <w:r w:rsidRPr="00614100">
              <w:rPr>
                <w:b/>
                <w:sz w:val="18"/>
                <w:szCs w:val="18"/>
              </w:rPr>
              <w:t>Social &amp; Cultural Diversity</w:t>
            </w:r>
          </w:p>
          <w:p w14:paraId="29F5D9CB" w14:textId="77777777" w:rsidR="00614100" w:rsidRPr="00614100" w:rsidRDefault="00614100" w:rsidP="00FE750E">
            <w:pPr>
              <w:pStyle w:val="NoSpacing"/>
              <w:rPr>
                <w:b/>
                <w:sz w:val="18"/>
                <w:szCs w:val="18"/>
              </w:rPr>
            </w:pPr>
          </w:p>
        </w:tc>
        <w:tc>
          <w:tcPr>
            <w:tcW w:w="4747" w:type="dxa"/>
            <w:tcBorders>
              <w:left w:val="single" w:sz="4" w:space="0" w:color="auto"/>
              <w:right w:val="single" w:sz="4" w:space="0" w:color="auto"/>
            </w:tcBorders>
          </w:tcPr>
          <w:p w14:paraId="57B10B4C" w14:textId="77777777" w:rsidR="00614100" w:rsidRPr="00614100" w:rsidRDefault="00614100" w:rsidP="00FE750E">
            <w:pPr>
              <w:pStyle w:val="NoSpacing"/>
              <w:rPr>
                <w:sz w:val="16"/>
                <w:szCs w:val="16"/>
              </w:rPr>
            </w:pPr>
            <w:r w:rsidRPr="00614100">
              <w:rPr>
                <w:rFonts w:ascii="Times New Roman" w:hAnsi="Times New Roman"/>
                <w:color w:val="000000"/>
                <w:sz w:val="16"/>
                <w:szCs w:val="16"/>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350" w:type="dxa"/>
            <w:tcBorders>
              <w:left w:val="single" w:sz="4" w:space="0" w:color="auto"/>
              <w:right w:val="single" w:sz="4" w:space="0" w:color="auto"/>
            </w:tcBorders>
          </w:tcPr>
          <w:p w14:paraId="3E0B588C"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Moderate</w:t>
            </w:r>
          </w:p>
        </w:tc>
        <w:tc>
          <w:tcPr>
            <w:tcW w:w="2700" w:type="dxa"/>
            <w:tcBorders>
              <w:left w:val="single" w:sz="4" w:space="0" w:color="auto"/>
            </w:tcBorders>
          </w:tcPr>
          <w:p w14:paraId="5450C8F3"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Multicultural considerations are included throughout the course, and included within the primary text.</w:t>
            </w:r>
          </w:p>
        </w:tc>
      </w:tr>
      <w:tr w:rsidR="00614100" w:rsidRPr="009B22DE" w14:paraId="36A8A71C" w14:textId="77777777" w:rsidTr="00FE750E">
        <w:tc>
          <w:tcPr>
            <w:tcW w:w="1458" w:type="dxa"/>
            <w:tcBorders>
              <w:right w:val="single" w:sz="4" w:space="0" w:color="auto"/>
            </w:tcBorders>
          </w:tcPr>
          <w:p w14:paraId="5F31BDE2" w14:textId="77777777" w:rsidR="00614100" w:rsidRPr="00614100" w:rsidRDefault="00614100" w:rsidP="00FE750E">
            <w:pPr>
              <w:pStyle w:val="NoSpacing"/>
              <w:rPr>
                <w:b/>
                <w:sz w:val="18"/>
                <w:szCs w:val="18"/>
              </w:rPr>
            </w:pPr>
            <w:r w:rsidRPr="00614100">
              <w:rPr>
                <w:b/>
                <w:sz w:val="18"/>
                <w:szCs w:val="18"/>
              </w:rPr>
              <w:t>Human Growth &amp; Development</w:t>
            </w:r>
          </w:p>
          <w:p w14:paraId="651D6162" w14:textId="77777777" w:rsidR="00614100" w:rsidRPr="00614100" w:rsidRDefault="00614100" w:rsidP="00FE750E">
            <w:pPr>
              <w:pStyle w:val="NoSpacing"/>
              <w:rPr>
                <w:b/>
                <w:sz w:val="18"/>
                <w:szCs w:val="18"/>
              </w:rPr>
            </w:pPr>
          </w:p>
        </w:tc>
        <w:tc>
          <w:tcPr>
            <w:tcW w:w="4747" w:type="dxa"/>
            <w:tcBorders>
              <w:left w:val="single" w:sz="4" w:space="0" w:color="auto"/>
              <w:right w:val="single" w:sz="4" w:space="0" w:color="auto"/>
            </w:tcBorders>
          </w:tcPr>
          <w:p w14:paraId="332DD966" w14:textId="77777777" w:rsidR="00614100" w:rsidRPr="00614100" w:rsidRDefault="00614100" w:rsidP="00FE750E">
            <w:pPr>
              <w:pStyle w:val="NoSpacing"/>
              <w:rPr>
                <w:sz w:val="16"/>
                <w:szCs w:val="16"/>
              </w:rPr>
            </w:pPr>
            <w:r w:rsidRPr="00614100">
              <w:rPr>
                <w:rFonts w:ascii="Times New Roman" w:hAnsi="Times New Roman"/>
                <w:color w:val="000000"/>
                <w:sz w:val="16"/>
                <w:szCs w:val="16"/>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614100">
              <w:rPr>
                <w:sz w:val="16"/>
                <w:szCs w:val="16"/>
              </w:rPr>
              <w:t xml:space="preserve">  </w:t>
            </w:r>
          </w:p>
        </w:tc>
        <w:tc>
          <w:tcPr>
            <w:tcW w:w="1350" w:type="dxa"/>
            <w:tcBorders>
              <w:left w:val="single" w:sz="4" w:space="0" w:color="auto"/>
              <w:right w:val="single" w:sz="4" w:space="0" w:color="auto"/>
            </w:tcBorders>
          </w:tcPr>
          <w:p w14:paraId="00F9EE02"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Strong</w:t>
            </w:r>
          </w:p>
        </w:tc>
        <w:tc>
          <w:tcPr>
            <w:tcW w:w="2700" w:type="dxa"/>
            <w:tcBorders>
              <w:left w:val="single" w:sz="4" w:space="0" w:color="auto"/>
            </w:tcBorders>
          </w:tcPr>
          <w:p w14:paraId="0F2C6EF0"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 xml:space="preserve">This course was designed to be the primary course meeting this student learning outcome.   </w:t>
            </w:r>
          </w:p>
        </w:tc>
      </w:tr>
      <w:tr w:rsidR="00614100" w:rsidRPr="009B22DE" w14:paraId="11B6B309" w14:textId="77777777" w:rsidTr="00FE750E">
        <w:tc>
          <w:tcPr>
            <w:tcW w:w="1458" w:type="dxa"/>
            <w:tcBorders>
              <w:right w:val="single" w:sz="4" w:space="0" w:color="auto"/>
            </w:tcBorders>
          </w:tcPr>
          <w:p w14:paraId="7F1FABCE" w14:textId="77777777" w:rsidR="00614100" w:rsidRPr="00614100" w:rsidRDefault="00614100" w:rsidP="00FE750E">
            <w:pPr>
              <w:pStyle w:val="NoSpacing"/>
              <w:rPr>
                <w:b/>
                <w:sz w:val="18"/>
                <w:szCs w:val="18"/>
              </w:rPr>
            </w:pPr>
            <w:r w:rsidRPr="00614100">
              <w:rPr>
                <w:b/>
                <w:sz w:val="18"/>
                <w:szCs w:val="18"/>
              </w:rPr>
              <w:t>Career Development</w:t>
            </w:r>
          </w:p>
        </w:tc>
        <w:tc>
          <w:tcPr>
            <w:tcW w:w="4747" w:type="dxa"/>
            <w:tcBorders>
              <w:left w:val="single" w:sz="4" w:space="0" w:color="auto"/>
              <w:right w:val="single" w:sz="4" w:space="0" w:color="auto"/>
            </w:tcBorders>
          </w:tcPr>
          <w:p w14:paraId="7D0F030E" w14:textId="77777777" w:rsidR="00614100" w:rsidRPr="00614100" w:rsidRDefault="00614100" w:rsidP="00FE750E">
            <w:pPr>
              <w:pStyle w:val="NoSpacing"/>
              <w:rPr>
                <w:sz w:val="16"/>
                <w:szCs w:val="16"/>
              </w:rPr>
            </w:pPr>
            <w:r w:rsidRPr="00614100">
              <w:rPr>
                <w:rFonts w:ascii="Times New Roman" w:hAnsi="Times New Roman"/>
                <w:color w:val="000000"/>
                <w:sz w:val="16"/>
                <w:szCs w:val="16"/>
              </w:rPr>
              <w:t>Understands and applies theories and models of career development, counseling, and decision making.</w:t>
            </w:r>
          </w:p>
        </w:tc>
        <w:tc>
          <w:tcPr>
            <w:tcW w:w="1350" w:type="dxa"/>
            <w:tcBorders>
              <w:left w:val="single" w:sz="4" w:space="0" w:color="auto"/>
              <w:right w:val="single" w:sz="4" w:space="0" w:color="auto"/>
            </w:tcBorders>
          </w:tcPr>
          <w:p w14:paraId="43F52ECA"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Minimal</w:t>
            </w:r>
          </w:p>
        </w:tc>
        <w:tc>
          <w:tcPr>
            <w:tcW w:w="2700" w:type="dxa"/>
            <w:tcBorders>
              <w:left w:val="single" w:sz="4" w:space="0" w:color="auto"/>
            </w:tcBorders>
          </w:tcPr>
          <w:p w14:paraId="3010DB38"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The modules on adolescents and emerging adults provides important information related to career development.</w:t>
            </w:r>
          </w:p>
        </w:tc>
      </w:tr>
      <w:tr w:rsidR="00614100" w:rsidRPr="009B22DE" w14:paraId="33CF372B" w14:textId="77777777" w:rsidTr="00FE750E">
        <w:tc>
          <w:tcPr>
            <w:tcW w:w="1458" w:type="dxa"/>
            <w:tcBorders>
              <w:right w:val="single" w:sz="4" w:space="0" w:color="auto"/>
            </w:tcBorders>
          </w:tcPr>
          <w:p w14:paraId="28FF22E2" w14:textId="77777777" w:rsidR="00614100" w:rsidRPr="00614100" w:rsidRDefault="00614100" w:rsidP="00FE750E">
            <w:pPr>
              <w:pStyle w:val="NoSpacing"/>
              <w:rPr>
                <w:b/>
                <w:sz w:val="18"/>
                <w:szCs w:val="18"/>
              </w:rPr>
            </w:pPr>
            <w:r w:rsidRPr="00614100">
              <w:rPr>
                <w:b/>
                <w:sz w:val="18"/>
                <w:szCs w:val="18"/>
              </w:rPr>
              <w:t>Counseling &amp; Helping Relationships</w:t>
            </w:r>
          </w:p>
        </w:tc>
        <w:tc>
          <w:tcPr>
            <w:tcW w:w="4747" w:type="dxa"/>
            <w:tcBorders>
              <w:left w:val="single" w:sz="4" w:space="0" w:color="auto"/>
              <w:right w:val="single" w:sz="4" w:space="0" w:color="auto"/>
            </w:tcBorders>
          </w:tcPr>
          <w:p w14:paraId="5EE9FDEF" w14:textId="77777777" w:rsidR="00614100" w:rsidRPr="00614100" w:rsidRDefault="00614100" w:rsidP="00FE750E">
            <w:pPr>
              <w:pStyle w:val="NoSpacing"/>
              <w:rPr>
                <w:sz w:val="16"/>
                <w:szCs w:val="16"/>
              </w:rPr>
            </w:pPr>
            <w:r w:rsidRPr="00614100">
              <w:rPr>
                <w:rFonts w:ascii="Times New Roman" w:hAnsi="Times New Roman"/>
                <w:color w:val="000000"/>
                <w:sz w:val="16"/>
                <w:szCs w:val="16"/>
              </w:rPr>
              <w:t>Understands and applies theories and models of counseling, strategies for understanding and practicing consultation, and developing relevant counseling treatment and intervention plans.</w:t>
            </w:r>
          </w:p>
        </w:tc>
        <w:tc>
          <w:tcPr>
            <w:tcW w:w="1350" w:type="dxa"/>
            <w:tcBorders>
              <w:left w:val="single" w:sz="4" w:space="0" w:color="auto"/>
              <w:right w:val="single" w:sz="4" w:space="0" w:color="auto"/>
            </w:tcBorders>
          </w:tcPr>
          <w:p w14:paraId="51BF9EC0"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Moderate</w:t>
            </w:r>
          </w:p>
        </w:tc>
        <w:tc>
          <w:tcPr>
            <w:tcW w:w="2700" w:type="dxa"/>
            <w:tcBorders>
              <w:left w:val="single" w:sz="4" w:space="0" w:color="auto"/>
            </w:tcBorders>
          </w:tcPr>
          <w:p w14:paraId="3F3A1F4A"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Approaches to working with developmentally specific disorders are discussed.</w:t>
            </w:r>
          </w:p>
        </w:tc>
      </w:tr>
      <w:tr w:rsidR="00614100" w:rsidRPr="009B22DE" w14:paraId="2148C479" w14:textId="77777777" w:rsidTr="00FE750E">
        <w:tc>
          <w:tcPr>
            <w:tcW w:w="1458" w:type="dxa"/>
            <w:tcBorders>
              <w:right w:val="single" w:sz="4" w:space="0" w:color="auto"/>
            </w:tcBorders>
          </w:tcPr>
          <w:p w14:paraId="2F844BEE" w14:textId="77777777" w:rsidR="00614100" w:rsidRPr="00614100" w:rsidRDefault="00614100" w:rsidP="00FE750E">
            <w:pPr>
              <w:pStyle w:val="NoSpacing"/>
              <w:rPr>
                <w:b/>
                <w:sz w:val="18"/>
                <w:szCs w:val="18"/>
              </w:rPr>
            </w:pPr>
            <w:r w:rsidRPr="00614100">
              <w:rPr>
                <w:b/>
                <w:sz w:val="18"/>
                <w:szCs w:val="18"/>
              </w:rPr>
              <w:t>Group Counseling &amp; Group Work</w:t>
            </w:r>
          </w:p>
        </w:tc>
        <w:tc>
          <w:tcPr>
            <w:tcW w:w="4747" w:type="dxa"/>
            <w:tcBorders>
              <w:left w:val="single" w:sz="4" w:space="0" w:color="auto"/>
              <w:right w:val="single" w:sz="4" w:space="0" w:color="auto"/>
            </w:tcBorders>
          </w:tcPr>
          <w:p w14:paraId="0161C51A" w14:textId="77777777" w:rsidR="00614100" w:rsidRPr="00614100" w:rsidRDefault="00614100" w:rsidP="00FE750E">
            <w:pPr>
              <w:pStyle w:val="NoSpacing"/>
              <w:rPr>
                <w:sz w:val="16"/>
                <w:szCs w:val="16"/>
              </w:rPr>
            </w:pPr>
            <w:r w:rsidRPr="00614100">
              <w:rPr>
                <w:rFonts w:ascii="Times New Roman" w:hAnsi="Times New Roman"/>
                <w:sz w:val="16"/>
                <w:szCs w:val="16"/>
              </w:rPr>
              <w:t>Understands and applies theories and models of group counseling and group work, dynamics of the group process and development, and therapeutic factors that contribute to group effectiveness.</w:t>
            </w:r>
          </w:p>
        </w:tc>
        <w:tc>
          <w:tcPr>
            <w:tcW w:w="1350" w:type="dxa"/>
            <w:tcBorders>
              <w:left w:val="single" w:sz="4" w:space="0" w:color="auto"/>
              <w:right w:val="single" w:sz="4" w:space="0" w:color="auto"/>
            </w:tcBorders>
          </w:tcPr>
          <w:p w14:paraId="1ED32F8B"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None</w:t>
            </w:r>
          </w:p>
        </w:tc>
        <w:tc>
          <w:tcPr>
            <w:tcW w:w="2700" w:type="dxa"/>
            <w:tcBorders>
              <w:left w:val="single" w:sz="4" w:space="0" w:color="auto"/>
            </w:tcBorders>
          </w:tcPr>
          <w:p w14:paraId="26D3AAB6"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None</w:t>
            </w:r>
          </w:p>
        </w:tc>
      </w:tr>
      <w:tr w:rsidR="00614100" w:rsidRPr="009B22DE" w14:paraId="6B3E6E14" w14:textId="77777777" w:rsidTr="00FE750E">
        <w:tc>
          <w:tcPr>
            <w:tcW w:w="1458" w:type="dxa"/>
            <w:tcBorders>
              <w:right w:val="single" w:sz="4" w:space="0" w:color="auto"/>
            </w:tcBorders>
          </w:tcPr>
          <w:p w14:paraId="7FA62890" w14:textId="77777777" w:rsidR="00614100" w:rsidRPr="00614100" w:rsidRDefault="00614100" w:rsidP="00FE750E">
            <w:pPr>
              <w:pStyle w:val="NoSpacing"/>
              <w:rPr>
                <w:b/>
                <w:sz w:val="18"/>
                <w:szCs w:val="18"/>
              </w:rPr>
            </w:pPr>
            <w:r w:rsidRPr="00614100">
              <w:rPr>
                <w:b/>
                <w:sz w:val="18"/>
                <w:szCs w:val="18"/>
              </w:rPr>
              <w:t>Assessment &amp; Testing</w:t>
            </w:r>
          </w:p>
        </w:tc>
        <w:tc>
          <w:tcPr>
            <w:tcW w:w="4747" w:type="dxa"/>
            <w:tcBorders>
              <w:left w:val="single" w:sz="4" w:space="0" w:color="auto"/>
              <w:right w:val="single" w:sz="4" w:space="0" w:color="auto"/>
            </w:tcBorders>
          </w:tcPr>
          <w:p w14:paraId="246F1343" w14:textId="77777777" w:rsidR="00614100" w:rsidRPr="00614100" w:rsidRDefault="00614100" w:rsidP="00FE750E">
            <w:pPr>
              <w:pStyle w:val="NoSpacing"/>
              <w:rPr>
                <w:sz w:val="16"/>
                <w:szCs w:val="16"/>
              </w:rPr>
            </w:pPr>
            <w:r w:rsidRPr="00614100">
              <w:rPr>
                <w:rFonts w:ascii="Times New Roman" w:hAnsi="Times New Roman"/>
                <w:color w:val="000000"/>
                <w:sz w:val="16"/>
                <w:szCs w:val="16"/>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1350" w:type="dxa"/>
            <w:tcBorders>
              <w:left w:val="single" w:sz="4" w:space="0" w:color="auto"/>
              <w:right w:val="single" w:sz="4" w:space="0" w:color="auto"/>
            </w:tcBorders>
          </w:tcPr>
          <w:p w14:paraId="5442C5A2"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None</w:t>
            </w:r>
          </w:p>
        </w:tc>
        <w:tc>
          <w:tcPr>
            <w:tcW w:w="2700" w:type="dxa"/>
            <w:tcBorders>
              <w:left w:val="single" w:sz="4" w:space="0" w:color="auto"/>
            </w:tcBorders>
          </w:tcPr>
          <w:p w14:paraId="20A4BEF5"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None</w:t>
            </w:r>
          </w:p>
        </w:tc>
      </w:tr>
      <w:tr w:rsidR="00614100" w:rsidRPr="009B22DE" w14:paraId="292EAE47" w14:textId="77777777" w:rsidTr="00FE750E">
        <w:tc>
          <w:tcPr>
            <w:tcW w:w="1458" w:type="dxa"/>
            <w:tcBorders>
              <w:right w:val="single" w:sz="4" w:space="0" w:color="auto"/>
            </w:tcBorders>
          </w:tcPr>
          <w:p w14:paraId="5511F47E" w14:textId="77777777" w:rsidR="00614100" w:rsidRPr="00614100" w:rsidRDefault="00614100" w:rsidP="00FE750E">
            <w:pPr>
              <w:pStyle w:val="NoSpacing"/>
              <w:rPr>
                <w:b/>
                <w:sz w:val="18"/>
                <w:szCs w:val="18"/>
              </w:rPr>
            </w:pPr>
            <w:r w:rsidRPr="00614100">
              <w:rPr>
                <w:b/>
                <w:sz w:val="18"/>
                <w:szCs w:val="18"/>
              </w:rPr>
              <w:t>Research &amp; Program Evaluation</w:t>
            </w:r>
          </w:p>
        </w:tc>
        <w:tc>
          <w:tcPr>
            <w:tcW w:w="4747" w:type="dxa"/>
            <w:tcBorders>
              <w:left w:val="single" w:sz="4" w:space="0" w:color="auto"/>
              <w:right w:val="single" w:sz="4" w:space="0" w:color="auto"/>
            </w:tcBorders>
          </w:tcPr>
          <w:p w14:paraId="2CDD7019" w14:textId="77777777" w:rsidR="00614100" w:rsidRPr="00614100" w:rsidRDefault="00614100" w:rsidP="00FE750E">
            <w:pPr>
              <w:pStyle w:val="NoSpacing"/>
              <w:rPr>
                <w:rFonts w:ascii="Times New Roman" w:hAnsi="Times New Roman"/>
                <w:color w:val="000000"/>
                <w:sz w:val="16"/>
                <w:szCs w:val="16"/>
              </w:rPr>
            </w:pPr>
            <w:r w:rsidRPr="00614100">
              <w:rPr>
                <w:rFonts w:ascii="Times New Roman" w:hAnsi="Times New Roman"/>
                <w:color w:val="000000"/>
                <w:sz w:val="16"/>
                <w:szCs w:val="16"/>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350" w:type="dxa"/>
            <w:tcBorders>
              <w:left w:val="single" w:sz="4" w:space="0" w:color="auto"/>
              <w:right w:val="single" w:sz="4" w:space="0" w:color="auto"/>
            </w:tcBorders>
          </w:tcPr>
          <w:p w14:paraId="46223F41"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None</w:t>
            </w:r>
          </w:p>
        </w:tc>
        <w:tc>
          <w:tcPr>
            <w:tcW w:w="2700" w:type="dxa"/>
            <w:tcBorders>
              <w:left w:val="single" w:sz="4" w:space="0" w:color="auto"/>
            </w:tcBorders>
          </w:tcPr>
          <w:p w14:paraId="2AE18817"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None</w:t>
            </w:r>
          </w:p>
        </w:tc>
      </w:tr>
      <w:tr w:rsidR="00614100" w:rsidRPr="009B22DE" w14:paraId="7AE7AD9D" w14:textId="77777777" w:rsidTr="00FE750E">
        <w:tc>
          <w:tcPr>
            <w:tcW w:w="1458" w:type="dxa"/>
            <w:tcBorders>
              <w:right w:val="single" w:sz="4" w:space="0" w:color="auto"/>
            </w:tcBorders>
          </w:tcPr>
          <w:p w14:paraId="7EE09E0D" w14:textId="77777777" w:rsidR="00614100" w:rsidRPr="00614100" w:rsidRDefault="00614100" w:rsidP="00FE750E">
            <w:pPr>
              <w:pStyle w:val="NoSpacing"/>
              <w:rPr>
                <w:b/>
                <w:sz w:val="18"/>
                <w:szCs w:val="18"/>
              </w:rPr>
            </w:pPr>
            <w:r w:rsidRPr="00614100">
              <w:rPr>
                <w:b/>
                <w:sz w:val="18"/>
                <w:szCs w:val="18"/>
              </w:rPr>
              <w:t>Clinical Mental Health Counseling</w:t>
            </w:r>
          </w:p>
        </w:tc>
        <w:tc>
          <w:tcPr>
            <w:tcW w:w="4747" w:type="dxa"/>
            <w:tcBorders>
              <w:left w:val="single" w:sz="4" w:space="0" w:color="auto"/>
              <w:right w:val="single" w:sz="4" w:space="0" w:color="auto"/>
            </w:tcBorders>
          </w:tcPr>
          <w:p w14:paraId="0A1C44C6" w14:textId="77777777" w:rsidR="00614100" w:rsidRPr="00614100" w:rsidRDefault="00614100" w:rsidP="00FE750E">
            <w:pPr>
              <w:pStyle w:val="NoSpacing"/>
              <w:rPr>
                <w:rFonts w:ascii="Times New Roman" w:hAnsi="Times New Roman"/>
                <w:color w:val="000000"/>
                <w:sz w:val="16"/>
                <w:szCs w:val="16"/>
              </w:rPr>
            </w:pPr>
            <w:r w:rsidRPr="00614100">
              <w:rPr>
                <w:rFonts w:ascii="Times New Roman" w:hAnsi="Times New Roman"/>
                <w:color w:val="000000"/>
                <w:sz w:val="16"/>
                <w:szCs w:val="16"/>
              </w:rPr>
              <w:t>Demonstrates the knowledge and skills necessary to address a wide variety of circumstances within the context of clinical mental health counseling.</w:t>
            </w:r>
          </w:p>
        </w:tc>
        <w:tc>
          <w:tcPr>
            <w:tcW w:w="1350" w:type="dxa"/>
            <w:tcBorders>
              <w:left w:val="single" w:sz="4" w:space="0" w:color="auto"/>
              <w:right w:val="single" w:sz="4" w:space="0" w:color="auto"/>
            </w:tcBorders>
          </w:tcPr>
          <w:p w14:paraId="798710B4"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Moderate</w:t>
            </w:r>
          </w:p>
        </w:tc>
        <w:tc>
          <w:tcPr>
            <w:tcW w:w="2700" w:type="dxa"/>
            <w:tcBorders>
              <w:left w:val="single" w:sz="4" w:space="0" w:color="auto"/>
            </w:tcBorders>
          </w:tcPr>
          <w:p w14:paraId="4D98D31C"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Approaches to working with developmentally specific disorders are discussed.</w:t>
            </w:r>
          </w:p>
        </w:tc>
      </w:tr>
      <w:tr w:rsidR="00614100" w:rsidRPr="009B22DE" w14:paraId="663871AA" w14:textId="77777777" w:rsidTr="00FE750E">
        <w:tc>
          <w:tcPr>
            <w:tcW w:w="1458" w:type="dxa"/>
            <w:tcBorders>
              <w:right w:val="single" w:sz="4" w:space="0" w:color="auto"/>
            </w:tcBorders>
          </w:tcPr>
          <w:p w14:paraId="24FC5513" w14:textId="77777777" w:rsidR="00614100" w:rsidRPr="00614100" w:rsidRDefault="00614100" w:rsidP="00FE750E">
            <w:pPr>
              <w:pStyle w:val="NoSpacing"/>
              <w:rPr>
                <w:b/>
                <w:sz w:val="18"/>
                <w:szCs w:val="18"/>
              </w:rPr>
            </w:pPr>
            <w:r w:rsidRPr="00614100">
              <w:rPr>
                <w:b/>
                <w:sz w:val="18"/>
                <w:szCs w:val="18"/>
              </w:rPr>
              <w:t xml:space="preserve">Integration </w:t>
            </w:r>
            <w:r w:rsidRPr="00614100">
              <w:rPr>
                <w:b/>
                <w:sz w:val="13"/>
                <w:szCs w:val="13"/>
              </w:rPr>
              <w:t>(Biblical/Theological)</w:t>
            </w:r>
          </w:p>
        </w:tc>
        <w:tc>
          <w:tcPr>
            <w:tcW w:w="4747" w:type="dxa"/>
            <w:tcBorders>
              <w:left w:val="single" w:sz="4" w:space="0" w:color="auto"/>
              <w:right w:val="single" w:sz="4" w:space="0" w:color="auto"/>
            </w:tcBorders>
          </w:tcPr>
          <w:p w14:paraId="7F58893F" w14:textId="77777777" w:rsidR="00614100" w:rsidRPr="00614100" w:rsidRDefault="00614100" w:rsidP="00FE750E">
            <w:pPr>
              <w:pStyle w:val="NoSpacing"/>
              <w:rPr>
                <w:rFonts w:ascii="Times New Roman" w:hAnsi="Times New Roman"/>
                <w:color w:val="000000"/>
                <w:sz w:val="16"/>
                <w:szCs w:val="16"/>
              </w:rPr>
            </w:pPr>
            <w:r w:rsidRPr="00614100">
              <w:rPr>
                <w:rFonts w:ascii="Times New Roman" w:hAnsi="Times New Roman"/>
                <w:sz w:val="16"/>
                <w:szCs w:val="16"/>
              </w:rPr>
              <w:t>Knowledge of and integration of Reformed, biblical and theological concepts with counseling practices.</w:t>
            </w:r>
          </w:p>
        </w:tc>
        <w:tc>
          <w:tcPr>
            <w:tcW w:w="1350" w:type="dxa"/>
            <w:tcBorders>
              <w:left w:val="single" w:sz="4" w:space="0" w:color="auto"/>
              <w:right w:val="single" w:sz="4" w:space="0" w:color="auto"/>
            </w:tcBorders>
          </w:tcPr>
          <w:p w14:paraId="029643CE"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Moderate</w:t>
            </w:r>
          </w:p>
        </w:tc>
        <w:tc>
          <w:tcPr>
            <w:tcW w:w="2700" w:type="dxa"/>
            <w:tcBorders>
              <w:left w:val="single" w:sz="4" w:space="0" w:color="auto"/>
            </w:tcBorders>
          </w:tcPr>
          <w:p w14:paraId="59B3EA82"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Integration of biblical and developmental concepts is woven throughout the course</w:t>
            </w:r>
          </w:p>
        </w:tc>
      </w:tr>
      <w:tr w:rsidR="00614100" w:rsidRPr="009B22DE" w14:paraId="36B419D0" w14:textId="77777777" w:rsidTr="00FE750E">
        <w:tc>
          <w:tcPr>
            <w:tcW w:w="1458" w:type="dxa"/>
            <w:tcBorders>
              <w:right w:val="single" w:sz="4" w:space="0" w:color="auto"/>
            </w:tcBorders>
          </w:tcPr>
          <w:p w14:paraId="1E6D81F1" w14:textId="77777777" w:rsidR="00614100" w:rsidRPr="00614100" w:rsidRDefault="00614100" w:rsidP="00FE750E">
            <w:pPr>
              <w:pStyle w:val="NoSpacing"/>
              <w:rPr>
                <w:b/>
                <w:sz w:val="18"/>
                <w:szCs w:val="18"/>
              </w:rPr>
            </w:pPr>
            <w:r w:rsidRPr="00614100">
              <w:rPr>
                <w:b/>
                <w:sz w:val="18"/>
                <w:szCs w:val="18"/>
              </w:rPr>
              <w:t>Sanctification</w:t>
            </w:r>
          </w:p>
        </w:tc>
        <w:tc>
          <w:tcPr>
            <w:tcW w:w="4747" w:type="dxa"/>
            <w:tcBorders>
              <w:left w:val="single" w:sz="4" w:space="0" w:color="auto"/>
              <w:right w:val="single" w:sz="4" w:space="0" w:color="auto"/>
            </w:tcBorders>
          </w:tcPr>
          <w:p w14:paraId="6A1EC5B4" w14:textId="77777777" w:rsidR="00614100" w:rsidRPr="00614100" w:rsidRDefault="00614100" w:rsidP="00FE750E">
            <w:pPr>
              <w:pStyle w:val="NoSpacing"/>
              <w:rPr>
                <w:rFonts w:ascii="Times New Roman" w:hAnsi="Times New Roman"/>
                <w:color w:val="000000"/>
                <w:sz w:val="16"/>
                <w:szCs w:val="16"/>
              </w:rPr>
            </w:pPr>
            <w:r w:rsidRPr="00614100">
              <w:rPr>
                <w:rFonts w:ascii="Times New Roman" w:hAnsi="Times New Roman"/>
                <w:sz w:val="16"/>
                <w:szCs w:val="16"/>
              </w:rPr>
              <w:t>Demonstrates a love for the triune God.</w:t>
            </w:r>
          </w:p>
        </w:tc>
        <w:tc>
          <w:tcPr>
            <w:tcW w:w="1350" w:type="dxa"/>
            <w:tcBorders>
              <w:left w:val="single" w:sz="4" w:space="0" w:color="auto"/>
              <w:right w:val="single" w:sz="4" w:space="0" w:color="auto"/>
            </w:tcBorders>
          </w:tcPr>
          <w:p w14:paraId="39936B59" w14:textId="77777777" w:rsidR="00614100" w:rsidRPr="00614100" w:rsidRDefault="00614100" w:rsidP="00FE750E">
            <w:pPr>
              <w:pStyle w:val="NoSpacing"/>
              <w:jc w:val="center"/>
              <w:rPr>
                <w:rFonts w:ascii="Times New Roman" w:hAnsi="Times New Roman"/>
                <w:sz w:val="16"/>
                <w:szCs w:val="16"/>
              </w:rPr>
            </w:pPr>
            <w:r w:rsidRPr="00614100">
              <w:rPr>
                <w:rFonts w:ascii="Times New Roman" w:hAnsi="Times New Roman"/>
                <w:sz w:val="16"/>
                <w:szCs w:val="16"/>
              </w:rPr>
              <w:t>None</w:t>
            </w:r>
          </w:p>
        </w:tc>
        <w:tc>
          <w:tcPr>
            <w:tcW w:w="2700" w:type="dxa"/>
            <w:tcBorders>
              <w:left w:val="single" w:sz="4" w:space="0" w:color="auto"/>
            </w:tcBorders>
          </w:tcPr>
          <w:p w14:paraId="678A10D1" w14:textId="77777777" w:rsidR="00614100" w:rsidRPr="00614100" w:rsidRDefault="00614100" w:rsidP="00FE750E">
            <w:pPr>
              <w:pStyle w:val="NoSpacing"/>
              <w:rPr>
                <w:rFonts w:ascii="Times New Roman" w:hAnsi="Times New Roman"/>
                <w:sz w:val="16"/>
                <w:szCs w:val="16"/>
              </w:rPr>
            </w:pPr>
            <w:r w:rsidRPr="00614100">
              <w:rPr>
                <w:rFonts w:ascii="Times New Roman" w:hAnsi="Times New Roman"/>
                <w:sz w:val="16"/>
                <w:szCs w:val="16"/>
              </w:rPr>
              <w:t>None</w:t>
            </w:r>
          </w:p>
        </w:tc>
      </w:tr>
    </w:tbl>
    <w:p w14:paraId="6512FADA" w14:textId="77777777" w:rsidR="00614100" w:rsidRDefault="00614100" w:rsidP="00614100">
      <w:pPr>
        <w:spacing w:after="200" w:line="276" w:lineRule="auto"/>
        <w:jc w:val="center"/>
        <w:rPr>
          <w:sz w:val="20"/>
          <w:szCs w:val="20"/>
        </w:rPr>
      </w:pPr>
    </w:p>
    <w:sectPr w:rsidR="00614100"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0B08" w14:textId="77777777" w:rsidR="00013277" w:rsidRDefault="00013277">
      <w:r>
        <w:separator/>
      </w:r>
    </w:p>
  </w:endnote>
  <w:endnote w:type="continuationSeparator" w:id="0">
    <w:p w14:paraId="2B4A9FB5" w14:textId="77777777" w:rsidR="00013277" w:rsidRDefault="0001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14:paraId="65808A09" w14:textId="60FC7CA4" w:rsidR="00914049" w:rsidRDefault="00914049" w:rsidP="0019654F">
        <w:pPr>
          <w:pStyle w:val="Footer"/>
        </w:pPr>
        <w:r>
          <w:tab/>
        </w:r>
        <w:r>
          <w:tab/>
        </w:r>
        <w:r>
          <w:fldChar w:fldCharType="begin"/>
        </w:r>
        <w:r>
          <w:instrText xml:space="preserve"> PAGE   \* MERGEFORMAT </w:instrText>
        </w:r>
        <w:r>
          <w:fldChar w:fldCharType="separate"/>
        </w:r>
        <w:r w:rsidR="00893115">
          <w:rPr>
            <w:noProof/>
          </w:rPr>
          <w:t>4</w:t>
        </w:r>
        <w:r>
          <w:rPr>
            <w:noProof/>
          </w:rPr>
          <w:fldChar w:fldCharType="end"/>
        </w:r>
      </w:p>
    </w:sdtContent>
  </w:sdt>
  <w:p w14:paraId="0F3C5676" w14:textId="77777777" w:rsidR="00914049" w:rsidRDefault="00914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5B6B" w14:textId="77777777" w:rsidR="00013277" w:rsidRDefault="00013277">
      <w:r>
        <w:separator/>
      </w:r>
    </w:p>
  </w:footnote>
  <w:footnote w:type="continuationSeparator" w:id="0">
    <w:p w14:paraId="6F274A9B" w14:textId="77777777" w:rsidR="00013277" w:rsidRDefault="00013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D427" w14:textId="77777777" w:rsidR="00914049" w:rsidRDefault="00914049" w:rsidP="002620CE">
    <w:pPr>
      <w:pStyle w:val="Caption"/>
      <w:tabs>
        <w:tab w:val="left" w:pos="0"/>
        <w:tab w:val="center" w:pos="4320"/>
        <w:tab w:val="right" w:pos="8640"/>
      </w:tabs>
      <w:suppressAutoHyphens/>
      <w:spacing w:line="1" w:lineRule="exact"/>
      <w:ind w:right="-1410"/>
    </w:pPr>
  </w:p>
  <w:p w14:paraId="4F07ACF1" w14:textId="77777777" w:rsidR="00914049" w:rsidRDefault="00914049" w:rsidP="002620CE">
    <w:pPr>
      <w:pStyle w:val="Caption"/>
      <w:tabs>
        <w:tab w:val="left" w:pos="0"/>
        <w:tab w:val="center" w:pos="4320"/>
        <w:tab w:val="right" w:pos="8640"/>
      </w:tabs>
      <w:suppressAutoHyphens/>
      <w:spacing w:line="1" w:lineRule="exact"/>
      <w:ind w:right="-1410"/>
    </w:pPr>
  </w:p>
  <w:p w14:paraId="74826C0B" w14:textId="54894B52" w:rsidR="00914049" w:rsidRPr="0062494E" w:rsidRDefault="00914049" w:rsidP="002620CE">
    <w:pPr>
      <w:pStyle w:val="Caption"/>
      <w:tabs>
        <w:tab w:val="left" w:pos="0"/>
        <w:tab w:val="center" w:pos="4320"/>
        <w:tab w:val="right" w:pos="8640"/>
      </w:tabs>
      <w:suppressAutoHyphens/>
      <w:spacing w:line="1" w:lineRule="exact"/>
      <w:ind w:right="-1410"/>
      <w:rPr>
        <w:vanish/>
      </w:rPr>
    </w:pPr>
    <w:r w:rsidRPr="0062494E">
      <w:rPr>
        <w:vanish/>
      </w:rPr>
      <w:fldChar w:fldCharType="begin"/>
    </w:r>
    <w:r w:rsidRPr="0062494E">
      <w:rPr>
        <w:vanish/>
      </w:rPr>
      <w:instrText>seq _endnote  \* Arabic  \r1</w:instrText>
    </w:r>
    <w:r w:rsidRPr="0062494E">
      <w:rPr>
        <w:vanish/>
      </w:rPr>
      <w:fldChar w:fldCharType="separate"/>
    </w:r>
    <w:r w:rsidR="00893115">
      <w:rPr>
        <w:b/>
        <w:bCs/>
        <w:noProof/>
        <w:vanish/>
      </w:rPr>
      <w:t>Error! Main Document Only.</w:t>
    </w:r>
    <w:r w:rsidRPr="0062494E">
      <w:rPr>
        <w:vanish/>
      </w:rPr>
      <w:fldChar w:fldCharType="end"/>
    </w:r>
    <w:r w:rsidRPr="0062494E">
      <w:rPr>
        <w:vanish/>
      </w:rPr>
      <w:t>Coun</w:t>
    </w:r>
    <w:r>
      <w:rPr>
        <w:vanish/>
      </w:rPr>
      <w:t>Counseling in Community Settings</w:t>
    </w:r>
  </w:p>
  <w:p w14:paraId="7419711A" w14:textId="78ED548A" w:rsidR="00914049" w:rsidRPr="002620CE" w:rsidRDefault="00893115" w:rsidP="002620CE">
    <w:pPr>
      <w:pBdr>
        <w:bottom w:val="single" w:sz="12" w:space="1" w:color="auto"/>
      </w:pBdr>
      <w:tabs>
        <w:tab w:val="left" w:pos="0"/>
        <w:tab w:val="center" w:pos="4320"/>
        <w:tab w:val="right" w:pos="9360"/>
      </w:tabs>
      <w:suppressAutoHyphens/>
      <w:ind w:right="-360"/>
      <w:rPr>
        <w:rFonts w:cstheme="minorHAnsi"/>
        <w:b/>
        <w:sz w:val="20"/>
      </w:rPr>
    </w:pPr>
    <w:r>
      <w:rPr>
        <w:rFonts w:cstheme="minorHAnsi"/>
        <w:b/>
        <w:sz w:val="20"/>
      </w:rPr>
      <w:t>RTS-Jackson</w:t>
    </w:r>
    <w:r w:rsidR="00914049" w:rsidRPr="00533DB8">
      <w:rPr>
        <w:rFonts w:cstheme="minorHAnsi"/>
        <w:b/>
        <w:sz w:val="20"/>
      </w:rPr>
      <w:t xml:space="preserve">             </w:t>
    </w:r>
    <w:r w:rsidR="00914049">
      <w:rPr>
        <w:rFonts w:cstheme="minorHAnsi"/>
        <w:b/>
        <w:sz w:val="20"/>
      </w:rPr>
      <w:t xml:space="preserve"> </w:t>
    </w:r>
    <w:r w:rsidR="00914049">
      <w:rPr>
        <w:rFonts w:cstheme="minorHAnsi"/>
        <w:b/>
        <w:sz w:val="20"/>
      </w:rPr>
      <w:tab/>
      <w:t xml:space="preserve">     Human Growth &amp; Development</w:t>
    </w:r>
    <w:r w:rsidR="00914049" w:rsidRPr="00533DB8">
      <w:rPr>
        <w:rFonts w:cstheme="minorHAnsi"/>
        <w:b/>
        <w:sz w:val="20"/>
      </w:rPr>
      <w:t xml:space="preserve">            </w:t>
    </w:r>
    <w:r w:rsidR="00914049">
      <w:rPr>
        <w:rFonts w:cstheme="minorHAnsi"/>
        <w:b/>
        <w:sz w:val="20"/>
      </w:rPr>
      <w:t xml:space="preserve">           </w:t>
    </w:r>
    <w:r w:rsidR="00914049" w:rsidRPr="00533DB8">
      <w:rPr>
        <w:rFonts w:cstheme="minorHAnsi"/>
        <w:b/>
        <w:sz w:val="20"/>
      </w:rPr>
      <w:t xml:space="preserve">  </w:t>
    </w:r>
    <w:r w:rsidR="00914049">
      <w:rPr>
        <w:rFonts w:cstheme="minorHAnsi"/>
        <w:b/>
        <w:sz w:val="20"/>
      </w:rPr>
      <w:t>Fall</w:t>
    </w:r>
    <w:r w:rsidR="00914049" w:rsidRPr="00533DB8">
      <w:rPr>
        <w:rFonts w:cstheme="minorHAnsi"/>
        <w:b/>
        <w:sz w:val="20"/>
      </w:rPr>
      <w:t xml:space="preserve"> </w:t>
    </w:r>
    <w:r w:rsidR="00914049">
      <w:rPr>
        <w:rFonts w:cstheme="minorHAnsi"/>
        <w:b/>
        <w:sz w:val="20"/>
      </w:rPr>
      <w:t>2020</w:t>
    </w:r>
    <w:r w:rsidR="00914049" w:rsidRPr="00533DB8">
      <w:rPr>
        <w:rFonts w:cstheme="minorHAnsi"/>
        <w:b/>
        <w:sz w:val="20"/>
      </w:rPr>
      <w:t xml:space="preserve"> Syllabus</w:t>
    </w:r>
    <w:r w:rsidR="00914049" w:rsidRPr="00533DB8">
      <w:rPr>
        <w:rFonts w:cstheme="minorHAnsi"/>
        <w:b/>
        <w:sz w:val="20"/>
      </w:rPr>
      <w:tab/>
      <w:t xml:space="preserve"> </w:t>
    </w:r>
    <w:r w:rsidR="00914049">
      <w:rPr>
        <w:rFonts w:cstheme="minorHAnsi"/>
        <w:b/>
        <w:sz w:val="20"/>
      </w:rPr>
      <w:t xml:space="preserve">  </w:t>
    </w:r>
    <w:r w:rsidR="00914049" w:rsidRPr="00533DB8">
      <w:rPr>
        <w:rFonts w:cstheme="minorHAnsi"/>
        <w:b/>
        <w:sz w:val="20"/>
      </w:rPr>
      <w:t xml:space="preserve">  </w:t>
    </w:r>
    <w:r w:rsidR="00914049">
      <w:rPr>
        <w:rFonts w:cstheme="minorHAnsi"/>
        <w:b/>
        <w:sz w:val="20"/>
      </w:rPr>
      <w:t xml:space="preserve">      </w:t>
    </w:r>
    <w:r>
      <w:rPr>
        <w:rFonts w:cstheme="minorHAnsi"/>
        <w:b/>
        <w:sz w:val="20"/>
      </w:rPr>
      <w:t>McMahon</w:t>
    </w:r>
  </w:p>
  <w:p w14:paraId="7E5ECE9F" w14:textId="77777777" w:rsidR="00914049" w:rsidRDefault="009140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887"/>
    <w:multiLevelType w:val="hybridMultilevel"/>
    <w:tmpl w:val="EE90997A"/>
    <w:lvl w:ilvl="0" w:tplc="56DE0EFA">
      <w:start w:val="1"/>
      <w:numFmt w:val="decimal"/>
      <w:lvlText w:val="M%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F55AE"/>
    <w:multiLevelType w:val="hybridMultilevel"/>
    <w:tmpl w:val="70667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620C05"/>
    <w:multiLevelType w:val="hybridMultilevel"/>
    <w:tmpl w:val="A3685552"/>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13E33"/>
    <w:multiLevelType w:val="hybridMultilevel"/>
    <w:tmpl w:val="0156A192"/>
    <w:lvl w:ilvl="0" w:tplc="9A3A2D08">
      <w:start w:val="1"/>
      <w:numFmt w:val="decimal"/>
      <w:lvlText w:val="A%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606A6"/>
    <w:multiLevelType w:val="hybridMultilevel"/>
    <w:tmpl w:val="5AFCCC44"/>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936DCA"/>
    <w:multiLevelType w:val="hybridMultilevel"/>
    <w:tmpl w:val="7EB46192"/>
    <w:lvl w:ilvl="0" w:tplc="04090001">
      <w:start w:val="1"/>
      <w:numFmt w:val="bullet"/>
      <w:lvlText w:val=""/>
      <w:lvlJc w:val="left"/>
      <w:pPr>
        <w:ind w:left="200" w:hanging="360"/>
      </w:pPr>
      <w:rPr>
        <w:rFonts w:ascii="Symbol" w:hAnsi="Symbol" w:hint="default"/>
      </w:rPr>
    </w:lvl>
    <w:lvl w:ilvl="1" w:tplc="04090003" w:tentative="1">
      <w:start w:val="1"/>
      <w:numFmt w:val="bullet"/>
      <w:lvlText w:val="o"/>
      <w:lvlJc w:val="left"/>
      <w:pPr>
        <w:ind w:left="920" w:hanging="360"/>
      </w:pPr>
      <w:rPr>
        <w:rFonts w:ascii="Courier New" w:hAnsi="Courier New" w:cs="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10"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11"/>
  </w:num>
  <w:num w:numId="6">
    <w:abstractNumId w:val="2"/>
  </w:num>
  <w:num w:numId="7">
    <w:abstractNumId w:val="3"/>
  </w:num>
  <w:num w:numId="8">
    <w:abstractNumId w:val="6"/>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DQ1sjSwMLQwNTVW0lEKTi0uzszPAykwrgUA0w4saiwAAAA="/>
  </w:docVars>
  <w:rsids>
    <w:rsidRoot w:val="000A2401"/>
    <w:rsid w:val="00001454"/>
    <w:rsid w:val="00013277"/>
    <w:rsid w:val="000151E7"/>
    <w:rsid w:val="0002209B"/>
    <w:rsid w:val="000309CE"/>
    <w:rsid w:val="0005103C"/>
    <w:rsid w:val="0008604F"/>
    <w:rsid w:val="0009322C"/>
    <w:rsid w:val="00093F87"/>
    <w:rsid w:val="000A2401"/>
    <w:rsid w:val="000C708A"/>
    <w:rsid w:val="000D3D84"/>
    <w:rsid w:val="000D7B5C"/>
    <w:rsid w:val="000F3DC7"/>
    <w:rsid w:val="000F67AB"/>
    <w:rsid w:val="000F7B4D"/>
    <w:rsid w:val="00102DF2"/>
    <w:rsid w:val="00123441"/>
    <w:rsid w:val="00133E8D"/>
    <w:rsid w:val="00151FF1"/>
    <w:rsid w:val="0015231C"/>
    <w:rsid w:val="00170F34"/>
    <w:rsid w:val="001725B4"/>
    <w:rsid w:val="0017328F"/>
    <w:rsid w:val="00176272"/>
    <w:rsid w:val="001928C1"/>
    <w:rsid w:val="0019367B"/>
    <w:rsid w:val="0019654F"/>
    <w:rsid w:val="001A0AD3"/>
    <w:rsid w:val="001B4A6A"/>
    <w:rsid w:val="001E5E9D"/>
    <w:rsid w:val="001F5275"/>
    <w:rsid w:val="002221A1"/>
    <w:rsid w:val="00226A7E"/>
    <w:rsid w:val="002356DE"/>
    <w:rsid w:val="00253B2C"/>
    <w:rsid w:val="00260370"/>
    <w:rsid w:val="002620CE"/>
    <w:rsid w:val="002801F5"/>
    <w:rsid w:val="002960BA"/>
    <w:rsid w:val="002A761D"/>
    <w:rsid w:val="002B129B"/>
    <w:rsid w:val="002C5F36"/>
    <w:rsid w:val="002C7F6A"/>
    <w:rsid w:val="00303FA4"/>
    <w:rsid w:val="00306E10"/>
    <w:rsid w:val="0033343F"/>
    <w:rsid w:val="00335373"/>
    <w:rsid w:val="00351725"/>
    <w:rsid w:val="00361127"/>
    <w:rsid w:val="003636AA"/>
    <w:rsid w:val="00366CDF"/>
    <w:rsid w:val="00367CDC"/>
    <w:rsid w:val="00391C35"/>
    <w:rsid w:val="003F0670"/>
    <w:rsid w:val="003F212E"/>
    <w:rsid w:val="00412630"/>
    <w:rsid w:val="00414C9E"/>
    <w:rsid w:val="0042441C"/>
    <w:rsid w:val="00456CEC"/>
    <w:rsid w:val="00473700"/>
    <w:rsid w:val="004766EA"/>
    <w:rsid w:val="004824A7"/>
    <w:rsid w:val="00485634"/>
    <w:rsid w:val="00491124"/>
    <w:rsid w:val="004A73DF"/>
    <w:rsid w:val="004B0E86"/>
    <w:rsid w:val="004E72A4"/>
    <w:rsid w:val="005153B8"/>
    <w:rsid w:val="00520C70"/>
    <w:rsid w:val="0052292E"/>
    <w:rsid w:val="00525E31"/>
    <w:rsid w:val="00531BE0"/>
    <w:rsid w:val="00564E12"/>
    <w:rsid w:val="00566B22"/>
    <w:rsid w:val="005729A8"/>
    <w:rsid w:val="00584807"/>
    <w:rsid w:val="005B4419"/>
    <w:rsid w:val="005C24F3"/>
    <w:rsid w:val="005E6A25"/>
    <w:rsid w:val="00614100"/>
    <w:rsid w:val="00615E18"/>
    <w:rsid w:val="0063679C"/>
    <w:rsid w:val="0064023C"/>
    <w:rsid w:val="006470D1"/>
    <w:rsid w:val="00653746"/>
    <w:rsid w:val="00673B2E"/>
    <w:rsid w:val="006C24FB"/>
    <w:rsid w:val="006C4E95"/>
    <w:rsid w:val="006D4235"/>
    <w:rsid w:val="006D768F"/>
    <w:rsid w:val="006F1D26"/>
    <w:rsid w:val="00716C8B"/>
    <w:rsid w:val="00737CC5"/>
    <w:rsid w:val="00744A89"/>
    <w:rsid w:val="00774113"/>
    <w:rsid w:val="0078681E"/>
    <w:rsid w:val="007C67F6"/>
    <w:rsid w:val="007D3232"/>
    <w:rsid w:val="007D54A5"/>
    <w:rsid w:val="007D593B"/>
    <w:rsid w:val="007E1B44"/>
    <w:rsid w:val="007F71D9"/>
    <w:rsid w:val="00807D89"/>
    <w:rsid w:val="00815416"/>
    <w:rsid w:val="008167DC"/>
    <w:rsid w:val="00817BE1"/>
    <w:rsid w:val="0082530E"/>
    <w:rsid w:val="00847FCF"/>
    <w:rsid w:val="00860D74"/>
    <w:rsid w:val="00883571"/>
    <w:rsid w:val="00893115"/>
    <w:rsid w:val="00893126"/>
    <w:rsid w:val="008A509B"/>
    <w:rsid w:val="008C61CE"/>
    <w:rsid w:val="008F05B3"/>
    <w:rsid w:val="00914049"/>
    <w:rsid w:val="009231D8"/>
    <w:rsid w:val="00937825"/>
    <w:rsid w:val="009674C5"/>
    <w:rsid w:val="00984415"/>
    <w:rsid w:val="0099019F"/>
    <w:rsid w:val="009A5E01"/>
    <w:rsid w:val="009A5FEC"/>
    <w:rsid w:val="009A6164"/>
    <w:rsid w:val="009B11C5"/>
    <w:rsid w:val="009B3157"/>
    <w:rsid w:val="009B47F2"/>
    <w:rsid w:val="009C23CE"/>
    <w:rsid w:val="009C6AF2"/>
    <w:rsid w:val="009D12AA"/>
    <w:rsid w:val="009F57A1"/>
    <w:rsid w:val="00A22080"/>
    <w:rsid w:val="00A35BE8"/>
    <w:rsid w:val="00A42077"/>
    <w:rsid w:val="00A524DA"/>
    <w:rsid w:val="00A52AA6"/>
    <w:rsid w:val="00A535E3"/>
    <w:rsid w:val="00A53D34"/>
    <w:rsid w:val="00A70CCE"/>
    <w:rsid w:val="00A8449C"/>
    <w:rsid w:val="00A93CCA"/>
    <w:rsid w:val="00AA33B6"/>
    <w:rsid w:val="00AB22CD"/>
    <w:rsid w:val="00AB7122"/>
    <w:rsid w:val="00AD78D5"/>
    <w:rsid w:val="00AE5197"/>
    <w:rsid w:val="00B22825"/>
    <w:rsid w:val="00B26568"/>
    <w:rsid w:val="00B400B3"/>
    <w:rsid w:val="00B44811"/>
    <w:rsid w:val="00B44F81"/>
    <w:rsid w:val="00B50853"/>
    <w:rsid w:val="00B61809"/>
    <w:rsid w:val="00B63400"/>
    <w:rsid w:val="00B82328"/>
    <w:rsid w:val="00BB7B4E"/>
    <w:rsid w:val="00BC41AB"/>
    <w:rsid w:val="00BC6DB8"/>
    <w:rsid w:val="00BE4864"/>
    <w:rsid w:val="00BE7D14"/>
    <w:rsid w:val="00C16F02"/>
    <w:rsid w:val="00C35995"/>
    <w:rsid w:val="00C67178"/>
    <w:rsid w:val="00C82EB7"/>
    <w:rsid w:val="00C97C81"/>
    <w:rsid w:val="00CB6311"/>
    <w:rsid w:val="00CC2A79"/>
    <w:rsid w:val="00CD26B9"/>
    <w:rsid w:val="00CE79B2"/>
    <w:rsid w:val="00D302F1"/>
    <w:rsid w:val="00D52419"/>
    <w:rsid w:val="00D63D70"/>
    <w:rsid w:val="00D6456C"/>
    <w:rsid w:val="00D702F5"/>
    <w:rsid w:val="00D8352F"/>
    <w:rsid w:val="00DB14E6"/>
    <w:rsid w:val="00DC59DC"/>
    <w:rsid w:val="00DC7D17"/>
    <w:rsid w:val="00DE3D74"/>
    <w:rsid w:val="00DE48A3"/>
    <w:rsid w:val="00DF4516"/>
    <w:rsid w:val="00E3579E"/>
    <w:rsid w:val="00E441D9"/>
    <w:rsid w:val="00E540A5"/>
    <w:rsid w:val="00E874F1"/>
    <w:rsid w:val="00E90159"/>
    <w:rsid w:val="00E91B94"/>
    <w:rsid w:val="00EA0999"/>
    <w:rsid w:val="00EA0AC1"/>
    <w:rsid w:val="00EA5897"/>
    <w:rsid w:val="00EB0063"/>
    <w:rsid w:val="00EB696C"/>
    <w:rsid w:val="00EC0552"/>
    <w:rsid w:val="00EE3CBE"/>
    <w:rsid w:val="00EF3C6B"/>
    <w:rsid w:val="00EF6545"/>
    <w:rsid w:val="00F03EB3"/>
    <w:rsid w:val="00F05F75"/>
    <w:rsid w:val="00F071CA"/>
    <w:rsid w:val="00F21F0D"/>
    <w:rsid w:val="00F23688"/>
    <w:rsid w:val="00F42C09"/>
    <w:rsid w:val="00FB041D"/>
    <w:rsid w:val="00FC5222"/>
    <w:rsid w:val="00FE0E0F"/>
    <w:rsid w:val="00FE750E"/>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3334"/>
  <w15:docId w15:val="{7451B529-7A56-4103-8FAE-61FF45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table" w:customStyle="1" w:styleId="TableGrid2">
    <w:name w:val="Table Grid2"/>
    <w:basedOn w:val="TableNormal"/>
    <w:next w:val="TableGrid"/>
    <w:uiPriority w:val="59"/>
    <w:rsid w:val="00CB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20CE"/>
    <w:pPr>
      <w:widowControl w:val="0"/>
    </w:pPr>
    <w:rPr>
      <w:rFonts w:ascii="Times New Roman" w:eastAsia="Times New Roman" w:hAnsi="Times New Roman" w:cs="Times New Roman"/>
      <w:sz w:val="24"/>
      <w:szCs w:val="24"/>
    </w:rPr>
  </w:style>
  <w:style w:type="paragraph" w:styleId="NoSpacing">
    <w:name w:val="No Spacing"/>
    <w:uiPriority w:val="1"/>
    <w:qFormat/>
    <w:rsid w:val="00614100"/>
    <w:rPr>
      <w:rFonts w:ascii="Calibri" w:eastAsia="Calibri" w:hAnsi="Calibri" w:cs="Times New Roman"/>
    </w:rPr>
  </w:style>
  <w:style w:type="paragraph" w:styleId="NormalWeb">
    <w:name w:val="Normal (Web)"/>
    <w:basedOn w:val="Normal"/>
    <w:rsid w:val="00366CDF"/>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01920615">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02230872">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
    <w:div w:id="1171456893">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4438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6120-FDB4-4B3F-82D7-3B5B1B3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Jaycee Terry</cp:lastModifiedBy>
  <cp:revision>12</cp:revision>
  <cp:lastPrinted>2016-08-19T15:24:00Z</cp:lastPrinted>
  <dcterms:created xsi:type="dcterms:W3CDTF">2020-07-21T17:27:00Z</dcterms:created>
  <dcterms:modified xsi:type="dcterms:W3CDTF">2020-08-12T21:36:00Z</dcterms:modified>
</cp:coreProperties>
</file>