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8F5A6" w14:textId="73A1BAC5" w:rsidR="001B6244" w:rsidRDefault="001B6244" w:rsidP="002A52E7">
      <w:pPr>
        <w:jc w:val="center"/>
        <w:rPr>
          <w:rFonts w:ascii="Garamond" w:hAnsi="Garamond"/>
          <w:b/>
          <w:lang w:val="en-US"/>
        </w:rPr>
      </w:pPr>
      <w:r w:rsidRPr="004278B6">
        <w:rPr>
          <w:rFonts w:ascii="Garamond" w:hAnsi="Garamond"/>
          <w:b/>
          <w:lang w:val="en-US"/>
        </w:rPr>
        <w:t>ST 5150: Scripture, Theology Proper, Anthropology</w:t>
      </w:r>
    </w:p>
    <w:p w14:paraId="1E870111" w14:textId="7039C553" w:rsidR="001D6559" w:rsidRPr="004278B6" w:rsidRDefault="001D6559" w:rsidP="002A52E7">
      <w:pPr>
        <w:jc w:val="center"/>
        <w:rPr>
          <w:rFonts w:ascii="Garamond" w:hAnsi="Garamond"/>
          <w:b/>
          <w:lang w:val="en-US"/>
        </w:rPr>
      </w:pPr>
      <w:r>
        <w:rPr>
          <w:rFonts w:ascii="Garamond" w:hAnsi="Garamond"/>
          <w:b/>
          <w:lang w:val="en-US"/>
        </w:rPr>
        <w:t>Reformed Theological Seminary, Washington, DC.</w:t>
      </w:r>
    </w:p>
    <w:p w14:paraId="092F6607" w14:textId="5EDBBB2E" w:rsidR="00204AD0" w:rsidRPr="004278B6" w:rsidRDefault="001D6559" w:rsidP="002A52E7">
      <w:pPr>
        <w:jc w:val="center"/>
        <w:rPr>
          <w:rFonts w:ascii="Garamond" w:hAnsi="Garamond"/>
          <w:b/>
          <w:lang w:val="en-US"/>
        </w:rPr>
      </w:pPr>
      <w:r>
        <w:rPr>
          <w:rFonts w:ascii="Garamond" w:hAnsi="Garamond"/>
          <w:b/>
          <w:lang w:val="en-US"/>
        </w:rPr>
        <w:t>Fall</w:t>
      </w:r>
      <w:r w:rsidR="00204AD0" w:rsidRPr="004278B6">
        <w:rPr>
          <w:rFonts w:ascii="Garamond" w:hAnsi="Garamond"/>
          <w:b/>
          <w:lang w:val="en-US"/>
        </w:rPr>
        <w:t xml:space="preserve"> 2020</w:t>
      </w:r>
    </w:p>
    <w:p w14:paraId="39586E7B" w14:textId="2EA8AE73" w:rsidR="001B6244" w:rsidRDefault="001B6244" w:rsidP="002A52E7">
      <w:pPr>
        <w:jc w:val="center"/>
        <w:rPr>
          <w:rFonts w:ascii="Garamond" w:hAnsi="Garamond"/>
          <w:b/>
          <w:lang w:val="en-US"/>
        </w:rPr>
      </w:pPr>
      <w:r w:rsidRPr="004278B6">
        <w:rPr>
          <w:rFonts w:ascii="Garamond" w:hAnsi="Garamond"/>
          <w:b/>
          <w:lang w:val="en-US"/>
        </w:rPr>
        <w:t xml:space="preserve">Dr. N. Gray </w:t>
      </w:r>
      <w:proofErr w:type="spellStart"/>
      <w:r w:rsidRPr="004278B6">
        <w:rPr>
          <w:rFonts w:ascii="Garamond" w:hAnsi="Garamond"/>
          <w:b/>
          <w:lang w:val="en-US"/>
        </w:rPr>
        <w:t>Sutanto</w:t>
      </w:r>
      <w:proofErr w:type="spellEnd"/>
    </w:p>
    <w:p w14:paraId="18394A58" w14:textId="0508618B" w:rsidR="001D6559" w:rsidRDefault="001D6559" w:rsidP="002A52E7">
      <w:pPr>
        <w:jc w:val="center"/>
        <w:rPr>
          <w:rFonts w:ascii="Garamond" w:hAnsi="Garamond"/>
          <w:b/>
          <w:lang w:val="en-US"/>
        </w:rPr>
      </w:pPr>
      <w:r>
        <w:rPr>
          <w:rFonts w:ascii="Garamond" w:hAnsi="Garamond"/>
          <w:b/>
          <w:lang w:val="en-US"/>
        </w:rPr>
        <w:t>Tuesday</w:t>
      </w:r>
      <w:r w:rsidR="00AB1E2C">
        <w:rPr>
          <w:rFonts w:ascii="Garamond" w:hAnsi="Garamond"/>
          <w:b/>
          <w:lang w:val="en-US"/>
        </w:rPr>
        <w:t>s</w:t>
      </w:r>
      <w:r>
        <w:rPr>
          <w:rFonts w:ascii="Garamond" w:hAnsi="Garamond"/>
          <w:b/>
          <w:lang w:val="en-US"/>
        </w:rPr>
        <w:t xml:space="preserve"> 7-10pm (EST)</w:t>
      </w:r>
    </w:p>
    <w:p w14:paraId="2DD99671" w14:textId="0450C99F" w:rsidR="001F5473" w:rsidRPr="004278B6" w:rsidRDefault="001F5473" w:rsidP="002A52E7">
      <w:pPr>
        <w:jc w:val="center"/>
        <w:rPr>
          <w:rFonts w:ascii="Garamond" w:hAnsi="Garamond"/>
          <w:b/>
          <w:lang w:val="en-US"/>
        </w:rPr>
      </w:pPr>
      <w:r>
        <w:rPr>
          <w:rFonts w:ascii="Garamond" w:hAnsi="Garamond"/>
          <w:b/>
          <w:lang w:val="en-US"/>
        </w:rPr>
        <w:t>Office Hours by Appointment</w:t>
      </w:r>
    </w:p>
    <w:p w14:paraId="12A2EAF1" w14:textId="0F1BD80D" w:rsidR="001B6244" w:rsidRPr="001B6244" w:rsidRDefault="001B6244">
      <w:pPr>
        <w:rPr>
          <w:rFonts w:ascii="Garamond" w:hAnsi="Garamond"/>
          <w:lang w:val="en-US"/>
        </w:rPr>
      </w:pPr>
    </w:p>
    <w:p w14:paraId="3A3C1C8D" w14:textId="190E854F" w:rsidR="001B6244" w:rsidRPr="001B6244" w:rsidRDefault="001B6244" w:rsidP="001B6244">
      <w:pPr>
        <w:jc w:val="center"/>
        <w:rPr>
          <w:rFonts w:ascii="Garamond" w:hAnsi="Garamond"/>
          <w:lang w:val="en-US"/>
        </w:rPr>
      </w:pPr>
      <w:r w:rsidRPr="004278B6">
        <w:rPr>
          <w:rFonts w:ascii="Garamond" w:hAnsi="Garamond"/>
          <w:b/>
          <w:lang w:val="en-US"/>
        </w:rPr>
        <w:t>Course Description:</w:t>
      </w:r>
      <w:r w:rsidRPr="001B6244">
        <w:rPr>
          <w:rFonts w:ascii="Garamond" w:hAnsi="Garamond"/>
          <w:lang w:val="en-US"/>
        </w:rPr>
        <w:t xml:space="preserve"> </w:t>
      </w:r>
      <w:r w:rsidRPr="001B6244">
        <w:rPr>
          <w:rFonts w:ascii="Garamond" w:hAnsi="Garamond"/>
          <w:lang w:val="en-US"/>
        </w:rPr>
        <w:br/>
      </w:r>
      <w:r w:rsidRPr="001B6244">
        <w:rPr>
          <w:rFonts w:ascii="Garamond" w:hAnsi="Garamond"/>
          <w:lang w:val="en-US"/>
        </w:rPr>
        <w:br/>
        <w:t>This course focuses on the systematic-theological loci of Scripture, theology proper, and anthropology, focusing on their biblical roots and articulation within Reformed theology.</w:t>
      </w:r>
      <w:r w:rsidR="0019605F">
        <w:rPr>
          <w:rFonts w:ascii="Garamond" w:hAnsi="Garamond"/>
          <w:lang w:val="en-US"/>
        </w:rPr>
        <w:t xml:space="preserve"> Topics will thus include the doctrines of general and special revelation, God (nature, attributes, Trinity) and the works of God (decrees, creation, providence), and humanity as created and fallen.  </w:t>
      </w:r>
    </w:p>
    <w:p w14:paraId="37DCEA67" w14:textId="31193D52" w:rsidR="001B6244" w:rsidRPr="004278B6" w:rsidRDefault="001B6244">
      <w:pPr>
        <w:rPr>
          <w:rFonts w:ascii="Garamond" w:hAnsi="Garamond"/>
          <w:b/>
          <w:lang w:val="en-US"/>
        </w:rPr>
      </w:pPr>
    </w:p>
    <w:p w14:paraId="30524CB4" w14:textId="0240C533" w:rsidR="001B6244" w:rsidRPr="004278B6" w:rsidRDefault="001B6244" w:rsidP="001B6244">
      <w:pPr>
        <w:jc w:val="center"/>
        <w:rPr>
          <w:rFonts w:ascii="Garamond" w:hAnsi="Garamond"/>
          <w:b/>
          <w:lang w:val="en-US"/>
        </w:rPr>
      </w:pPr>
      <w:r w:rsidRPr="004278B6">
        <w:rPr>
          <w:rFonts w:ascii="Garamond" w:hAnsi="Garamond"/>
          <w:b/>
          <w:lang w:val="en-US"/>
        </w:rPr>
        <w:t>Course Readings:</w:t>
      </w:r>
    </w:p>
    <w:p w14:paraId="77DF1340" w14:textId="43F28126" w:rsidR="001B6244" w:rsidRPr="001B6244" w:rsidRDefault="001B6244">
      <w:pPr>
        <w:rPr>
          <w:rFonts w:ascii="Garamond" w:hAnsi="Garamond"/>
          <w:lang w:val="en-US"/>
        </w:rPr>
      </w:pPr>
    </w:p>
    <w:p w14:paraId="72E0B74F" w14:textId="77777777" w:rsidR="001B6244" w:rsidRPr="001B6244" w:rsidRDefault="001B6244">
      <w:pPr>
        <w:rPr>
          <w:rFonts w:ascii="Garamond" w:hAnsi="Garamond"/>
          <w:lang w:val="en-US"/>
        </w:rPr>
      </w:pPr>
      <w:r w:rsidRPr="001B6244">
        <w:rPr>
          <w:rFonts w:ascii="Garamond" w:hAnsi="Garamond"/>
          <w:lang w:val="en-US"/>
        </w:rPr>
        <w:t xml:space="preserve">Herman Bavinck, </w:t>
      </w:r>
      <w:r w:rsidRPr="001B6244">
        <w:rPr>
          <w:rFonts w:ascii="Garamond" w:hAnsi="Garamond"/>
          <w:i/>
          <w:lang w:val="en-US"/>
        </w:rPr>
        <w:t xml:space="preserve">Reformed </w:t>
      </w:r>
      <w:proofErr w:type="spellStart"/>
      <w:r w:rsidRPr="001B6244">
        <w:rPr>
          <w:rFonts w:ascii="Garamond" w:hAnsi="Garamond"/>
          <w:i/>
          <w:lang w:val="en-US"/>
        </w:rPr>
        <w:t>Dogmatics</w:t>
      </w:r>
      <w:proofErr w:type="spellEnd"/>
      <w:r w:rsidRPr="001B6244">
        <w:rPr>
          <w:rFonts w:ascii="Garamond" w:hAnsi="Garamond"/>
          <w:lang w:val="en-US"/>
        </w:rPr>
        <w:t xml:space="preserve"> (Grand Rapids: Baker Academic 2003-8). </w:t>
      </w:r>
    </w:p>
    <w:p w14:paraId="4951753B" w14:textId="31E53B93" w:rsidR="001B6244" w:rsidRPr="001B6244" w:rsidRDefault="001B6244" w:rsidP="001B6244">
      <w:pPr>
        <w:ind w:firstLine="720"/>
        <w:rPr>
          <w:rFonts w:ascii="Garamond" w:hAnsi="Garamond"/>
          <w:lang w:val="en-US"/>
        </w:rPr>
      </w:pPr>
      <w:r w:rsidRPr="001B6244">
        <w:rPr>
          <w:rFonts w:ascii="Garamond" w:hAnsi="Garamond"/>
          <w:lang w:val="en-US"/>
        </w:rPr>
        <w:t>Vol. 1, chapters 9-14.</w:t>
      </w:r>
    </w:p>
    <w:p w14:paraId="7D0B0744" w14:textId="4E89A808" w:rsidR="001B6244" w:rsidRDefault="001B6244" w:rsidP="001B6244">
      <w:pPr>
        <w:ind w:firstLine="720"/>
        <w:rPr>
          <w:rFonts w:ascii="Garamond" w:hAnsi="Garamond"/>
          <w:lang w:val="en-US"/>
        </w:rPr>
      </w:pPr>
      <w:r w:rsidRPr="001B6244">
        <w:rPr>
          <w:rFonts w:ascii="Garamond" w:hAnsi="Garamond"/>
          <w:lang w:val="en-US"/>
        </w:rPr>
        <w:t>Vol. 2. Chapters 3-14</w:t>
      </w:r>
    </w:p>
    <w:p w14:paraId="30210982" w14:textId="2D4E9DA3" w:rsidR="001D6559" w:rsidRDefault="001D6559" w:rsidP="001D6559">
      <w:pPr>
        <w:rPr>
          <w:rFonts w:ascii="Garamond" w:hAnsi="Garamond"/>
          <w:lang w:val="en-US"/>
        </w:rPr>
      </w:pPr>
    </w:p>
    <w:p w14:paraId="3C024E42" w14:textId="75202B33" w:rsidR="001D6559" w:rsidRDefault="001D6559" w:rsidP="001D6559">
      <w:pPr>
        <w:rPr>
          <w:rFonts w:ascii="Garamond" w:hAnsi="Garamond"/>
          <w:lang w:val="en-US"/>
        </w:rPr>
      </w:pPr>
      <w:r>
        <w:rPr>
          <w:rFonts w:ascii="Garamond" w:hAnsi="Garamond"/>
          <w:lang w:val="en-US"/>
        </w:rPr>
        <w:t xml:space="preserve">Richard </w:t>
      </w:r>
      <w:proofErr w:type="spellStart"/>
      <w:r>
        <w:rPr>
          <w:rFonts w:ascii="Garamond" w:hAnsi="Garamond"/>
          <w:lang w:val="en-US"/>
        </w:rPr>
        <w:t>Gaffin</w:t>
      </w:r>
      <w:proofErr w:type="spellEnd"/>
      <w:r>
        <w:rPr>
          <w:rFonts w:ascii="Garamond" w:hAnsi="Garamond"/>
          <w:lang w:val="en-US"/>
        </w:rPr>
        <w:t xml:space="preserve">, </w:t>
      </w:r>
      <w:r>
        <w:rPr>
          <w:rFonts w:ascii="Garamond" w:hAnsi="Garamond"/>
          <w:i/>
          <w:lang w:val="en-US"/>
        </w:rPr>
        <w:t xml:space="preserve">Perspectives on Pentecost </w:t>
      </w:r>
      <w:r>
        <w:rPr>
          <w:rFonts w:ascii="Garamond" w:hAnsi="Garamond"/>
          <w:lang w:val="en-US"/>
        </w:rPr>
        <w:t>(</w:t>
      </w:r>
      <w:proofErr w:type="spellStart"/>
      <w:r>
        <w:rPr>
          <w:rFonts w:ascii="Garamond" w:hAnsi="Garamond"/>
          <w:lang w:val="en-US"/>
        </w:rPr>
        <w:t>Philpsburg</w:t>
      </w:r>
      <w:proofErr w:type="spellEnd"/>
      <w:r>
        <w:rPr>
          <w:rFonts w:ascii="Garamond" w:hAnsi="Garamond"/>
          <w:lang w:val="en-US"/>
        </w:rPr>
        <w:t>, P&amp;R, 1993)</w:t>
      </w:r>
    </w:p>
    <w:p w14:paraId="6E26302C" w14:textId="77777777" w:rsidR="001D6559" w:rsidRPr="001D6559" w:rsidRDefault="001D6559" w:rsidP="001D6559">
      <w:pPr>
        <w:rPr>
          <w:rFonts w:ascii="Garamond" w:hAnsi="Garamond"/>
          <w:lang w:val="en-US"/>
        </w:rPr>
      </w:pPr>
    </w:p>
    <w:p w14:paraId="7E76854F" w14:textId="77777777" w:rsidR="001D6559" w:rsidRPr="001B6244" w:rsidRDefault="001D6559" w:rsidP="001D6559">
      <w:pPr>
        <w:rPr>
          <w:rFonts w:ascii="Garamond" w:hAnsi="Garamond"/>
          <w:lang w:val="en-US"/>
        </w:rPr>
      </w:pPr>
      <w:r w:rsidRPr="001B6244">
        <w:rPr>
          <w:rFonts w:ascii="Garamond" w:hAnsi="Garamond"/>
          <w:lang w:val="en-US"/>
        </w:rPr>
        <w:t xml:space="preserve">John Murray, </w:t>
      </w:r>
      <w:r w:rsidRPr="001B6244">
        <w:rPr>
          <w:rFonts w:ascii="Garamond" w:hAnsi="Garamond"/>
          <w:i/>
          <w:lang w:val="en-US"/>
        </w:rPr>
        <w:t xml:space="preserve">The Imputation of Adam’s Sin </w:t>
      </w:r>
      <w:r w:rsidRPr="001B6244">
        <w:rPr>
          <w:rFonts w:ascii="Garamond" w:hAnsi="Garamond"/>
          <w:lang w:val="en-US"/>
        </w:rPr>
        <w:t xml:space="preserve">(Philipsburg: P&amp;R, 1977). </w:t>
      </w:r>
    </w:p>
    <w:p w14:paraId="5C3D20D2" w14:textId="26307D96" w:rsidR="001D6559" w:rsidRPr="001B6244" w:rsidRDefault="001D6559" w:rsidP="001D6559">
      <w:pPr>
        <w:rPr>
          <w:rFonts w:ascii="Garamond" w:hAnsi="Garamond"/>
          <w:lang w:val="en-US"/>
        </w:rPr>
      </w:pPr>
      <w:r w:rsidRPr="001B6244">
        <w:rPr>
          <w:rFonts w:ascii="Garamond" w:hAnsi="Garamond"/>
          <w:lang w:val="en-US"/>
        </w:rPr>
        <w:tab/>
        <w:t xml:space="preserve">Entirety </w:t>
      </w:r>
    </w:p>
    <w:p w14:paraId="739100C1" w14:textId="1CD6D012" w:rsidR="001B6244" w:rsidRDefault="001B6244" w:rsidP="001B6244">
      <w:pPr>
        <w:rPr>
          <w:rFonts w:ascii="Garamond" w:hAnsi="Garamond"/>
          <w:lang w:val="en-US"/>
        </w:rPr>
      </w:pPr>
    </w:p>
    <w:p w14:paraId="5DE059D4" w14:textId="1F8F2C37" w:rsidR="001B6244" w:rsidRDefault="0019605F" w:rsidP="0019605F">
      <w:pPr>
        <w:rPr>
          <w:rFonts w:ascii="Garamond" w:hAnsi="Garamond"/>
          <w:lang w:val="en-US"/>
        </w:rPr>
      </w:pPr>
      <w:r>
        <w:rPr>
          <w:rFonts w:ascii="Garamond" w:hAnsi="Garamond"/>
          <w:lang w:val="en-US"/>
        </w:rPr>
        <w:t xml:space="preserve">Francis </w:t>
      </w:r>
      <w:proofErr w:type="spellStart"/>
      <w:r>
        <w:rPr>
          <w:rFonts w:ascii="Garamond" w:hAnsi="Garamond"/>
          <w:lang w:val="en-US"/>
        </w:rPr>
        <w:t>Turretin</w:t>
      </w:r>
      <w:proofErr w:type="spellEnd"/>
      <w:r>
        <w:rPr>
          <w:rFonts w:ascii="Garamond" w:hAnsi="Garamond"/>
          <w:lang w:val="en-US"/>
        </w:rPr>
        <w:t xml:space="preserve">, </w:t>
      </w:r>
      <w:r>
        <w:rPr>
          <w:rFonts w:ascii="Garamond" w:hAnsi="Garamond"/>
          <w:i/>
          <w:lang w:val="en-US"/>
        </w:rPr>
        <w:t xml:space="preserve">Institutes of </w:t>
      </w:r>
      <w:proofErr w:type="spellStart"/>
      <w:r>
        <w:rPr>
          <w:rFonts w:ascii="Garamond" w:hAnsi="Garamond"/>
          <w:i/>
          <w:lang w:val="en-US"/>
        </w:rPr>
        <w:t>Elenctic</w:t>
      </w:r>
      <w:proofErr w:type="spellEnd"/>
      <w:r>
        <w:rPr>
          <w:rFonts w:ascii="Garamond" w:hAnsi="Garamond"/>
          <w:i/>
          <w:lang w:val="en-US"/>
        </w:rPr>
        <w:t xml:space="preserve"> Theology</w:t>
      </w:r>
      <w:r>
        <w:rPr>
          <w:rFonts w:ascii="Garamond" w:hAnsi="Garamond"/>
          <w:lang w:val="en-US"/>
        </w:rPr>
        <w:t xml:space="preserve"> (Philipsburg: P&amp;R, 1992).</w:t>
      </w:r>
    </w:p>
    <w:p w14:paraId="52A0074E" w14:textId="512EBF50" w:rsidR="0019605F" w:rsidRPr="0019605F" w:rsidRDefault="0019605F" w:rsidP="0019605F">
      <w:pPr>
        <w:rPr>
          <w:rFonts w:ascii="Garamond" w:hAnsi="Garamond"/>
          <w:lang w:val="en-US"/>
        </w:rPr>
      </w:pPr>
      <w:r>
        <w:rPr>
          <w:rFonts w:ascii="Garamond" w:hAnsi="Garamond"/>
          <w:lang w:val="en-US"/>
        </w:rPr>
        <w:tab/>
        <w:t xml:space="preserve">Vol. 1, Third Topic, Questions III-XXXI (pages 181-310). </w:t>
      </w:r>
    </w:p>
    <w:p w14:paraId="3D959BF9" w14:textId="54428720" w:rsidR="001B6244" w:rsidRDefault="001B6244" w:rsidP="001B6244">
      <w:pPr>
        <w:rPr>
          <w:rFonts w:ascii="Garamond" w:hAnsi="Garamond"/>
          <w:lang w:val="en-US"/>
        </w:rPr>
      </w:pPr>
    </w:p>
    <w:p w14:paraId="07739C57" w14:textId="5EE76B19" w:rsidR="0019605F" w:rsidRDefault="0019605F" w:rsidP="001B6244">
      <w:pPr>
        <w:rPr>
          <w:rFonts w:ascii="Garamond" w:hAnsi="Garamond"/>
          <w:lang w:val="en-US"/>
        </w:rPr>
      </w:pPr>
      <w:r>
        <w:rPr>
          <w:rFonts w:ascii="Garamond" w:hAnsi="Garamond"/>
          <w:lang w:val="en-US"/>
        </w:rPr>
        <w:t xml:space="preserve">Michael Allen and Scott Swain (eds.), </w:t>
      </w:r>
      <w:r>
        <w:rPr>
          <w:rFonts w:ascii="Garamond" w:hAnsi="Garamond"/>
          <w:i/>
          <w:lang w:val="en-US"/>
        </w:rPr>
        <w:t xml:space="preserve">Christian </w:t>
      </w:r>
      <w:proofErr w:type="spellStart"/>
      <w:r>
        <w:rPr>
          <w:rFonts w:ascii="Garamond" w:hAnsi="Garamond"/>
          <w:i/>
          <w:lang w:val="en-US"/>
        </w:rPr>
        <w:t>Dogmatics</w:t>
      </w:r>
      <w:proofErr w:type="spellEnd"/>
      <w:r>
        <w:rPr>
          <w:rFonts w:ascii="Garamond" w:hAnsi="Garamond"/>
          <w:i/>
          <w:lang w:val="en-US"/>
        </w:rPr>
        <w:t xml:space="preserve">: Reformed theology for the Church Catholic </w:t>
      </w:r>
      <w:r>
        <w:rPr>
          <w:rFonts w:ascii="Garamond" w:hAnsi="Garamond"/>
          <w:lang w:val="en-US"/>
        </w:rPr>
        <w:t xml:space="preserve">(Grand Rapids: Baker Academic, 2016). </w:t>
      </w:r>
    </w:p>
    <w:p w14:paraId="6F0492E5" w14:textId="005155EA" w:rsidR="0019605F" w:rsidRDefault="0019605F" w:rsidP="001B6244">
      <w:pPr>
        <w:rPr>
          <w:rFonts w:ascii="Garamond" w:hAnsi="Garamond"/>
          <w:lang w:val="en-US"/>
        </w:rPr>
      </w:pPr>
      <w:r>
        <w:rPr>
          <w:rFonts w:ascii="Garamond" w:hAnsi="Garamond"/>
          <w:lang w:val="en-US"/>
        </w:rPr>
        <w:tab/>
        <w:t xml:space="preserve">Chapters 1-9. </w:t>
      </w:r>
    </w:p>
    <w:p w14:paraId="4B59B19F" w14:textId="77777777" w:rsidR="0019605F" w:rsidRPr="0019605F" w:rsidRDefault="0019605F" w:rsidP="001B6244">
      <w:pPr>
        <w:rPr>
          <w:rFonts w:ascii="Garamond" w:hAnsi="Garamond"/>
          <w:lang w:val="en-US"/>
        </w:rPr>
      </w:pPr>
    </w:p>
    <w:p w14:paraId="5E8AABC6" w14:textId="5F4DF4B1" w:rsidR="001B6244" w:rsidRPr="001B6244" w:rsidRDefault="001B6244" w:rsidP="001B6244">
      <w:pPr>
        <w:rPr>
          <w:rFonts w:ascii="Garamond" w:hAnsi="Garamond"/>
          <w:lang w:val="en-US"/>
        </w:rPr>
      </w:pPr>
      <w:r w:rsidRPr="001B6244">
        <w:rPr>
          <w:rFonts w:ascii="Garamond" w:hAnsi="Garamond"/>
          <w:lang w:val="en-US"/>
        </w:rPr>
        <w:t xml:space="preserve">Nathaniel </w:t>
      </w:r>
      <w:proofErr w:type="spellStart"/>
      <w:r w:rsidRPr="001B6244">
        <w:rPr>
          <w:rFonts w:ascii="Garamond" w:hAnsi="Garamond"/>
          <w:lang w:val="en-US"/>
        </w:rPr>
        <w:t>Sutanto</w:t>
      </w:r>
      <w:proofErr w:type="spellEnd"/>
      <w:r w:rsidRPr="001B6244">
        <w:rPr>
          <w:rFonts w:ascii="Garamond" w:hAnsi="Garamond"/>
          <w:lang w:val="en-US"/>
        </w:rPr>
        <w:t xml:space="preserve">, “Herman Bavinck on the Image of God and Original Sin,” </w:t>
      </w:r>
      <w:r w:rsidRPr="001B6244">
        <w:rPr>
          <w:rFonts w:ascii="Garamond" w:hAnsi="Garamond"/>
          <w:i/>
          <w:lang w:val="en-US"/>
        </w:rPr>
        <w:t xml:space="preserve">International Journal of Systematic Theology </w:t>
      </w:r>
      <w:r w:rsidRPr="001B6244">
        <w:rPr>
          <w:rFonts w:ascii="Garamond" w:hAnsi="Garamond"/>
          <w:lang w:val="en-US"/>
        </w:rPr>
        <w:t xml:space="preserve">18, no. 2 (April 2016): 174-190. </w:t>
      </w:r>
    </w:p>
    <w:p w14:paraId="4CB10F9A" w14:textId="3FB076F7" w:rsidR="001B6244" w:rsidRPr="001B6244" w:rsidRDefault="001B6244" w:rsidP="001B6244">
      <w:pPr>
        <w:rPr>
          <w:rFonts w:ascii="Garamond" w:hAnsi="Garamond"/>
          <w:lang w:val="en-US"/>
        </w:rPr>
      </w:pPr>
    </w:p>
    <w:p w14:paraId="6FD0AA69" w14:textId="7E5EF6F6" w:rsidR="001B6244" w:rsidRDefault="001B6244" w:rsidP="001B6244">
      <w:pPr>
        <w:rPr>
          <w:rFonts w:ascii="Garamond" w:hAnsi="Garamond"/>
          <w:lang w:val="en-US"/>
        </w:rPr>
      </w:pPr>
      <w:r w:rsidRPr="001B6244">
        <w:rPr>
          <w:rFonts w:ascii="Garamond" w:hAnsi="Garamond"/>
          <w:lang w:val="en-US"/>
        </w:rPr>
        <w:t xml:space="preserve">Westminster Confession of Faith, chapters 1-9, 19. </w:t>
      </w:r>
    </w:p>
    <w:p w14:paraId="1C3531AE" w14:textId="2B82AE92" w:rsidR="001B6244" w:rsidRDefault="001B6244" w:rsidP="001B6244">
      <w:pPr>
        <w:rPr>
          <w:rFonts w:ascii="Garamond" w:hAnsi="Garamond"/>
          <w:lang w:val="en-US"/>
        </w:rPr>
      </w:pPr>
    </w:p>
    <w:p w14:paraId="10B004FF" w14:textId="4F125433" w:rsidR="0019605F" w:rsidRDefault="0019605F" w:rsidP="0019605F">
      <w:pPr>
        <w:ind w:left="720"/>
        <w:rPr>
          <w:rFonts w:ascii="Garamond" w:hAnsi="Garamond"/>
          <w:lang w:val="en-US"/>
        </w:rPr>
      </w:pPr>
      <w:r>
        <w:rPr>
          <w:rFonts w:ascii="Garamond" w:hAnsi="Garamond"/>
          <w:lang w:val="en-US"/>
        </w:rPr>
        <w:t>Recommended reading: the primary sources from</w:t>
      </w:r>
      <w:r w:rsidR="001D6559">
        <w:rPr>
          <w:rFonts w:ascii="Garamond" w:hAnsi="Garamond"/>
          <w:lang w:val="en-US"/>
        </w:rPr>
        <w:t xml:space="preserve"> Calvin (</w:t>
      </w:r>
      <w:r w:rsidR="001D6559">
        <w:rPr>
          <w:rFonts w:ascii="Garamond" w:hAnsi="Garamond"/>
          <w:i/>
          <w:lang w:val="en-US"/>
        </w:rPr>
        <w:t>Institutes</w:t>
      </w:r>
      <w:r w:rsidR="001D6559">
        <w:rPr>
          <w:rFonts w:ascii="Garamond" w:hAnsi="Garamond"/>
          <w:lang w:val="en-US"/>
        </w:rPr>
        <w:t>)</w:t>
      </w:r>
      <w:r>
        <w:rPr>
          <w:rFonts w:ascii="Garamond" w:hAnsi="Garamond"/>
          <w:lang w:val="en-US"/>
        </w:rPr>
        <w:t xml:space="preserve"> </w:t>
      </w:r>
      <w:proofErr w:type="spellStart"/>
      <w:r>
        <w:rPr>
          <w:rFonts w:ascii="Garamond" w:hAnsi="Garamond"/>
          <w:lang w:val="en-US"/>
        </w:rPr>
        <w:t>Franciscus</w:t>
      </w:r>
      <w:proofErr w:type="spellEnd"/>
      <w:r>
        <w:rPr>
          <w:rFonts w:ascii="Garamond" w:hAnsi="Garamond"/>
          <w:lang w:val="en-US"/>
        </w:rPr>
        <w:t xml:space="preserve"> </w:t>
      </w:r>
      <w:proofErr w:type="spellStart"/>
      <w:r>
        <w:rPr>
          <w:rFonts w:ascii="Garamond" w:hAnsi="Garamond"/>
          <w:lang w:val="en-US"/>
        </w:rPr>
        <w:t>Junius</w:t>
      </w:r>
      <w:proofErr w:type="spellEnd"/>
      <w:r>
        <w:rPr>
          <w:rFonts w:ascii="Garamond" w:hAnsi="Garamond"/>
          <w:lang w:val="en-US"/>
        </w:rPr>
        <w:t xml:space="preserve"> (</w:t>
      </w:r>
      <w:r>
        <w:rPr>
          <w:rFonts w:ascii="Garamond" w:hAnsi="Garamond"/>
          <w:i/>
          <w:lang w:val="en-US"/>
        </w:rPr>
        <w:t>Treatise on True Theology</w:t>
      </w:r>
      <w:r>
        <w:rPr>
          <w:rFonts w:ascii="Garamond" w:hAnsi="Garamond"/>
          <w:lang w:val="en-US"/>
        </w:rPr>
        <w:t xml:space="preserve">), Petrus van </w:t>
      </w:r>
      <w:proofErr w:type="spellStart"/>
      <w:r>
        <w:rPr>
          <w:rFonts w:ascii="Garamond" w:hAnsi="Garamond"/>
          <w:lang w:val="en-US"/>
        </w:rPr>
        <w:t>Mastricht</w:t>
      </w:r>
      <w:proofErr w:type="spellEnd"/>
      <w:r>
        <w:rPr>
          <w:rFonts w:ascii="Garamond" w:hAnsi="Garamond"/>
          <w:lang w:val="en-US"/>
        </w:rPr>
        <w:t xml:space="preserve"> (</w:t>
      </w:r>
      <w:r>
        <w:rPr>
          <w:rFonts w:ascii="Garamond" w:hAnsi="Garamond"/>
          <w:i/>
          <w:lang w:val="en-US"/>
        </w:rPr>
        <w:t>Theoretical-Practical Theology</w:t>
      </w:r>
      <w:r>
        <w:rPr>
          <w:rFonts w:ascii="Garamond" w:hAnsi="Garamond"/>
          <w:lang w:val="en-US"/>
        </w:rPr>
        <w:t xml:space="preserve">, vols. 1&amp;2), Francis </w:t>
      </w:r>
      <w:proofErr w:type="spellStart"/>
      <w:r>
        <w:rPr>
          <w:rFonts w:ascii="Garamond" w:hAnsi="Garamond"/>
          <w:lang w:val="en-US"/>
        </w:rPr>
        <w:t>Turretin</w:t>
      </w:r>
      <w:proofErr w:type="spellEnd"/>
      <w:r>
        <w:rPr>
          <w:rFonts w:ascii="Garamond" w:hAnsi="Garamond"/>
          <w:lang w:val="en-US"/>
        </w:rPr>
        <w:t xml:space="preserve"> (</w:t>
      </w:r>
      <w:r>
        <w:rPr>
          <w:rFonts w:ascii="Garamond" w:hAnsi="Garamond"/>
          <w:i/>
          <w:lang w:val="en-US"/>
        </w:rPr>
        <w:t xml:space="preserve">Institutes of </w:t>
      </w:r>
      <w:proofErr w:type="spellStart"/>
      <w:r>
        <w:rPr>
          <w:rFonts w:ascii="Garamond" w:hAnsi="Garamond"/>
          <w:i/>
          <w:lang w:val="en-US"/>
        </w:rPr>
        <w:t>Elenctic</w:t>
      </w:r>
      <w:proofErr w:type="spellEnd"/>
      <w:r>
        <w:rPr>
          <w:rFonts w:ascii="Garamond" w:hAnsi="Garamond"/>
          <w:i/>
          <w:lang w:val="en-US"/>
        </w:rPr>
        <w:t xml:space="preserve"> Theology</w:t>
      </w:r>
      <w:r>
        <w:rPr>
          <w:rFonts w:ascii="Garamond" w:hAnsi="Garamond"/>
          <w:lang w:val="en-US"/>
        </w:rPr>
        <w:t>), Abraham Kuyper (</w:t>
      </w:r>
      <w:r>
        <w:rPr>
          <w:rFonts w:ascii="Garamond" w:hAnsi="Garamond"/>
          <w:i/>
          <w:lang w:val="en-US"/>
        </w:rPr>
        <w:t>Encyclopedia of Sacred Theology</w:t>
      </w:r>
      <w:r>
        <w:rPr>
          <w:rFonts w:ascii="Garamond" w:hAnsi="Garamond"/>
          <w:lang w:val="en-US"/>
        </w:rPr>
        <w:t>), and Vos (</w:t>
      </w:r>
      <w:r>
        <w:rPr>
          <w:rFonts w:ascii="Garamond" w:hAnsi="Garamond"/>
          <w:i/>
          <w:lang w:val="en-US"/>
        </w:rPr>
        <w:t xml:space="preserve">Reformed </w:t>
      </w:r>
      <w:proofErr w:type="spellStart"/>
      <w:r>
        <w:rPr>
          <w:rFonts w:ascii="Garamond" w:hAnsi="Garamond"/>
          <w:i/>
          <w:lang w:val="en-US"/>
        </w:rPr>
        <w:t>Dogmatics</w:t>
      </w:r>
      <w:proofErr w:type="spellEnd"/>
      <w:r>
        <w:rPr>
          <w:rFonts w:ascii="Garamond" w:hAnsi="Garamond"/>
          <w:lang w:val="en-US"/>
        </w:rPr>
        <w:t xml:space="preserve">) are all helpful as treatments of the loci covered in this course. </w:t>
      </w:r>
    </w:p>
    <w:p w14:paraId="1F0C088E" w14:textId="2BB0FB6A" w:rsidR="001B6244" w:rsidRDefault="001B6244" w:rsidP="001B6244">
      <w:pPr>
        <w:rPr>
          <w:rFonts w:ascii="Garamond" w:hAnsi="Garamond"/>
          <w:lang w:val="en-US"/>
        </w:rPr>
      </w:pPr>
    </w:p>
    <w:p w14:paraId="3FA9E474" w14:textId="346A541C" w:rsidR="001B6244" w:rsidRPr="004278B6" w:rsidRDefault="001B6244" w:rsidP="002A52E7">
      <w:pPr>
        <w:jc w:val="center"/>
        <w:rPr>
          <w:rFonts w:ascii="Garamond" w:hAnsi="Garamond"/>
          <w:b/>
          <w:lang w:val="en-US"/>
        </w:rPr>
      </w:pPr>
      <w:r w:rsidRPr="004278B6">
        <w:rPr>
          <w:rFonts w:ascii="Garamond" w:hAnsi="Garamond"/>
          <w:b/>
          <w:lang w:val="en-US"/>
        </w:rPr>
        <w:t>Assignments:</w:t>
      </w:r>
    </w:p>
    <w:p w14:paraId="08895CDA" w14:textId="18BBCDAC" w:rsidR="001B6244" w:rsidRDefault="001B6244" w:rsidP="001B6244">
      <w:pPr>
        <w:rPr>
          <w:rFonts w:ascii="Garamond" w:hAnsi="Garamond"/>
          <w:lang w:val="en-US"/>
        </w:rPr>
      </w:pPr>
    </w:p>
    <w:p w14:paraId="77CDF4FB" w14:textId="4115DA28" w:rsidR="001B6244" w:rsidRDefault="001B6244" w:rsidP="001B6244">
      <w:pPr>
        <w:pStyle w:val="ListParagraph"/>
        <w:numPr>
          <w:ilvl w:val="0"/>
          <w:numId w:val="1"/>
        </w:numPr>
        <w:rPr>
          <w:rFonts w:ascii="Garamond" w:hAnsi="Garamond"/>
          <w:lang w:val="en-US"/>
        </w:rPr>
      </w:pPr>
      <w:r>
        <w:rPr>
          <w:rFonts w:ascii="Garamond" w:hAnsi="Garamond"/>
          <w:lang w:val="en-US"/>
        </w:rPr>
        <w:t xml:space="preserve">Class Participation (20%) </w:t>
      </w:r>
    </w:p>
    <w:p w14:paraId="77B33885" w14:textId="1C9AF610" w:rsidR="001B6244" w:rsidRDefault="001B6244" w:rsidP="001B6244">
      <w:pPr>
        <w:pStyle w:val="ListParagraph"/>
        <w:numPr>
          <w:ilvl w:val="1"/>
          <w:numId w:val="1"/>
        </w:numPr>
        <w:rPr>
          <w:rFonts w:ascii="Garamond" w:hAnsi="Garamond"/>
          <w:lang w:val="en-US"/>
        </w:rPr>
      </w:pPr>
      <w:r>
        <w:rPr>
          <w:rFonts w:ascii="Garamond" w:hAnsi="Garamond"/>
          <w:lang w:val="en-US"/>
        </w:rPr>
        <w:t xml:space="preserve">Engagement with synchronous zoom meetings </w:t>
      </w:r>
    </w:p>
    <w:p w14:paraId="7FDE8E10" w14:textId="772BAC3F" w:rsidR="001B6244" w:rsidRDefault="001B6244" w:rsidP="001B6244">
      <w:pPr>
        <w:pStyle w:val="ListParagraph"/>
        <w:numPr>
          <w:ilvl w:val="1"/>
          <w:numId w:val="1"/>
        </w:numPr>
        <w:rPr>
          <w:rFonts w:ascii="Garamond" w:hAnsi="Garamond"/>
          <w:lang w:val="en-US"/>
        </w:rPr>
      </w:pPr>
      <w:r>
        <w:rPr>
          <w:rFonts w:ascii="Garamond" w:hAnsi="Garamond"/>
          <w:lang w:val="en-US"/>
        </w:rPr>
        <w:t xml:space="preserve">Discussion on Canvas with </w:t>
      </w:r>
      <w:r w:rsidR="004278B6">
        <w:rPr>
          <w:rFonts w:ascii="Garamond" w:hAnsi="Garamond"/>
          <w:lang w:val="en-US"/>
        </w:rPr>
        <w:t>professor (</w:t>
      </w:r>
      <w:r w:rsidR="001D6559">
        <w:rPr>
          <w:rFonts w:ascii="Garamond" w:hAnsi="Garamond"/>
          <w:lang w:val="en-US"/>
        </w:rPr>
        <w:t>8 interactions</w:t>
      </w:r>
      <w:r w:rsidR="004278B6">
        <w:rPr>
          <w:rFonts w:ascii="Garamond" w:hAnsi="Garamond"/>
          <w:lang w:val="en-US"/>
        </w:rPr>
        <w:t xml:space="preserve">) </w:t>
      </w:r>
      <w:r>
        <w:rPr>
          <w:rFonts w:ascii="Garamond" w:hAnsi="Garamond"/>
          <w:lang w:val="en-US"/>
        </w:rPr>
        <w:t>other students</w:t>
      </w:r>
      <w:r w:rsidR="004278B6">
        <w:rPr>
          <w:rFonts w:ascii="Garamond" w:hAnsi="Garamond"/>
          <w:lang w:val="en-US"/>
        </w:rPr>
        <w:t xml:space="preserve"> (5 interactions)</w:t>
      </w:r>
    </w:p>
    <w:p w14:paraId="4C552A7E" w14:textId="18EA5CC5" w:rsidR="001B6244" w:rsidRDefault="001B6244" w:rsidP="001B6244">
      <w:pPr>
        <w:pStyle w:val="ListParagraph"/>
        <w:numPr>
          <w:ilvl w:val="0"/>
          <w:numId w:val="1"/>
        </w:numPr>
        <w:rPr>
          <w:rFonts w:ascii="Garamond" w:hAnsi="Garamond"/>
          <w:lang w:val="en-US"/>
        </w:rPr>
      </w:pPr>
      <w:r>
        <w:rPr>
          <w:rFonts w:ascii="Garamond" w:hAnsi="Garamond"/>
          <w:lang w:val="en-US"/>
        </w:rPr>
        <w:t>Reading report: (20%)</w:t>
      </w:r>
    </w:p>
    <w:p w14:paraId="0999AC1A" w14:textId="1586714A" w:rsidR="001B6244" w:rsidRDefault="001B6244" w:rsidP="001B6244">
      <w:pPr>
        <w:pStyle w:val="ListParagraph"/>
        <w:numPr>
          <w:ilvl w:val="1"/>
          <w:numId w:val="1"/>
        </w:numPr>
        <w:rPr>
          <w:rFonts w:ascii="Garamond" w:hAnsi="Garamond"/>
          <w:lang w:val="en-US"/>
        </w:rPr>
      </w:pPr>
      <w:r>
        <w:rPr>
          <w:rFonts w:ascii="Garamond" w:hAnsi="Garamond"/>
          <w:lang w:val="en-US"/>
        </w:rPr>
        <w:lastRenderedPageBreak/>
        <w:t xml:space="preserve">Students will submit a reading report indicating how many percent of the reading they have read (attached to the final exam). </w:t>
      </w:r>
    </w:p>
    <w:p w14:paraId="69C00326" w14:textId="6EFDB924" w:rsidR="001B6244" w:rsidRDefault="001B6244" w:rsidP="001B6244">
      <w:pPr>
        <w:pStyle w:val="ListParagraph"/>
        <w:numPr>
          <w:ilvl w:val="0"/>
          <w:numId w:val="1"/>
        </w:numPr>
        <w:rPr>
          <w:rFonts w:ascii="Garamond" w:hAnsi="Garamond"/>
          <w:lang w:val="en-US"/>
        </w:rPr>
      </w:pPr>
      <w:r>
        <w:rPr>
          <w:rFonts w:ascii="Garamond" w:hAnsi="Garamond"/>
          <w:lang w:val="en-US"/>
        </w:rPr>
        <w:t>Research Paper (30%)</w:t>
      </w:r>
    </w:p>
    <w:p w14:paraId="79313095" w14:textId="529B8EBF" w:rsidR="001B6244" w:rsidRDefault="001B6244" w:rsidP="001B6244">
      <w:pPr>
        <w:pStyle w:val="ListParagraph"/>
        <w:numPr>
          <w:ilvl w:val="1"/>
          <w:numId w:val="1"/>
        </w:numPr>
        <w:rPr>
          <w:rFonts w:ascii="Garamond" w:hAnsi="Garamond"/>
          <w:lang w:val="en-US"/>
        </w:rPr>
      </w:pPr>
      <w:r>
        <w:rPr>
          <w:rFonts w:ascii="Garamond" w:hAnsi="Garamond"/>
          <w:lang w:val="en-US"/>
        </w:rPr>
        <w:t>Students will write a 3000 word research paper (about 1</w:t>
      </w:r>
      <w:r w:rsidR="0019605F">
        <w:rPr>
          <w:rFonts w:ascii="Garamond" w:hAnsi="Garamond"/>
          <w:lang w:val="en-US"/>
        </w:rPr>
        <w:t>0-1</w:t>
      </w:r>
      <w:r>
        <w:rPr>
          <w:rFonts w:ascii="Garamond" w:hAnsi="Garamond"/>
          <w:lang w:val="en-US"/>
        </w:rPr>
        <w:t xml:space="preserve">2 pages double spaced), citing at least 8 scholarly sources, engaging in a topic from the course. </w:t>
      </w:r>
    </w:p>
    <w:p w14:paraId="629408AA" w14:textId="6BA11EB8" w:rsidR="001B6244" w:rsidRDefault="001B6244" w:rsidP="001B6244">
      <w:pPr>
        <w:pStyle w:val="ListParagraph"/>
        <w:numPr>
          <w:ilvl w:val="0"/>
          <w:numId w:val="1"/>
        </w:numPr>
        <w:rPr>
          <w:rFonts w:ascii="Garamond" w:hAnsi="Garamond"/>
          <w:lang w:val="en-US"/>
        </w:rPr>
      </w:pPr>
      <w:r>
        <w:rPr>
          <w:rFonts w:ascii="Garamond" w:hAnsi="Garamond"/>
          <w:lang w:val="en-US"/>
        </w:rPr>
        <w:t>Final Exam (30%)</w:t>
      </w:r>
    </w:p>
    <w:p w14:paraId="433ED464" w14:textId="1141C1DC" w:rsidR="001B6244" w:rsidRPr="001B6244" w:rsidRDefault="001B6244" w:rsidP="001B6244">
      <w:pPr>
        <w:pStyle w:val="ListParagraph"/>
        <w:numPr>
          <w:ilvl w:val="1"/>
          <w:numId w:val="1"/>
        </w:numPr>
        <w:rPr>
          <w:rFonts w:ascii="Garamond" w:hAnsi="Garamond"/>
          <w:lang w:val="en-US"/>
        </w:rPr>
      </w:pPr>
      <w:r>
        <w:rPr>
          <w:rFonts w:ascii="Garamond" w:hAnsi="Garamond"/>
          <w:lang w:val="en-US"/>
        </w:rPr>
        <w:t xml:space="preserve">There will be a final comprising short and long essay questions based on the lecture material. </w:t>
      </w:r>
      <w:r w:rsidR="0019605F">
        <w:rPr>
          <w:rFonts w:ascii="Garamond" w:hAnsi="Garamond"/>
          <w:lang w:val="en-US"/>
        </w:rPr>
        <w:t xml:space="preserve">A study guide will be provided. </w:t>
      </w:r>
    </w:p>
    <w:p w14:paraId="288F7B6A" w14:textId="237E6190" w:rsidR="001B6244" w:rsidRDefault="001B6244" w:rsidP="001B6244">
      <w:pPr>
        <w:rPr>
          <w:rFonts w:ascii="Garamond" w:hAnsi="Garamond"/>
          <w:lang w:val="en-US"/>
        </w:rPr>
      </w:pPr>
    </w:p>
    <w:p w14:paraId="42718BE8" w14:textId="55F002A1" w:rsidR="001B6244" w:rsidRPr="001B6244" w:rsidRDefault="009A283B" w:rsidP="001B6244">
      <w:pPr>
        <w:rPr>
          <w:rFonts w:ascii="Garamond" w:hAnsi="Garamond"/>
          <w:lang w:val="en-US"/>
        </w:rPr>
      </w:pPr>
      <w:r>
        <w:rPr>
          <w:rFonts w:ascii="Garamond" w:hAnsi="Garamond"/>
          <w:lang w:val="en-US"/>
        </w:rPr>
        <w:t>Reading report</w:t>
      </w:r>
      <w:r w:rsidR="001D6559">
        <w:rPr>
          <w:rFonts w:ascii="Garamond" w:hAnsi="Garamond"/>
          <w:lang w:val="en-US"/>
        </w:rPr>
        <w:t xml:space="preserve"> and research paper will be due the week of the final exam.</w:t>
      </w:r>
    </w:p>
    <w:p w14:paraId="2CCD1F37" w14:textId="5433392D" w:rsidR="001B6244" w:rsidRPr="001B6244" w:rsidRDefault="001B6244" w:rsidP="001B6244">
      <w:pPr>
        <w:rPr>
          <w:rFonts w:ascii="Garamond" w:hAnsi="Garamond"/>
          <w:lang w:val="en-US"/>
        </w:rPr>
      </w:pPr>
    </w:p>
    <w:p w14:paraId="097211ED" w14:textId="77777777" w:rsidR="0002001C" w:rsidRPr="004278B6" w:rsidRDefault="0002001C" w:rsidP="0002001C">
      <w:pPr>
        <w:jc w:val="center"/>
        <w:rPr>
          <w:rFonts w:ascii="Garamond" w:hAnsi="Garamond"/>
          <w:b/>
          <w:lang w:val="en-US"/>
        </w:rPr>
      </w:pPr>
      <w:r w:rsidRPr="004278B6">
        <w:rPr>
          <w:rFonts w:ascii="Garamond" w:hAnsi="Garamond"/>
          <w:b/>
          <w:lang w:val="en-US"/>
        </w:rPr>
        <w:t>On Papers:</w:t>
      </w:r>
    </w:p>
    <w:p w14:paraId="78265DFA" w14:textId="77777777" w:rsidR="0002001C" w:rsidRDefault="0002001C" w:rsidP="0002001C">
      <w:pPr>
        <w:rPr>
          <w:rFonts w:ascii="Garamond" w:hAnsi="Garamond"/>
          <w:lang w:val="en-US"/>
        </w:rPr>
      </w:pPr>
    </w:p>
    <w:p w14:paraId="72F03874" w14:textId="77777777" w:rsidR="0002001C" w:rsidRPr="00091AC8" w:rsidRDefault="0002001C" w:rsidP="0002001C">
      <w:pPr>
        <w:rPr>
          <w:rFonts w:ascii="Garamond" w:hAnsi="Garamond"/>
          <w:lang w:val="en-US"/>
        </w:rPr>
      </w:pPr>
      <w:r>
        <w:rPr>
          <w:rFonts w:ascii="Garamond" w:hAnsi="Garamond"/>
          <w:lang w:val="en-US"/>
        </w:rPr>
        <w:t xml:space="preserve">Papers should have one-inch margins, 12-point fonts, and have no more than 3000 words (including footnotes, excluding bibliography). </w:t>
      </w:r>
    </w:p>
    <w:p w14:paraId="04B2A511" w14:textId="77777777" w:rsidR="0002001C" w:rsidRDefault="0002001C" w:rsidP="0002001C">
      <w:pPr>
        <w:rPr>
          <w:rFonts w:ascii="Garamond" w:hAnsi="Garamond"/>
          <w:lang w:val="en-US"/>
        </w:rPr>
      </w:pPr>
    </w:p>
    <w:p w14:paraId="54733871" w14:textId="20D20CD0" w:rsidR="0002001C" w:rsidRDefault="0002001C" w:rsidP="0002001C">
      <w:pPr>
        <w:rPr>
          <w:rFonts w:ascii="Garamond" w:hAnsi="Garamond"/>
          <w:lang w:val="en-US"/>
        </w:rPr>
      </w:pPr>
      <w:r>
        <w:rPr>
          <w:rFonts w:ascii="Garamond" w:hAnsi="Garamond"/>
          <w:lang w:val="en-US"/>
        </w:rPr>
        <w:t>Papers should have a clear thesis and roadmap in the beginning of the essay.</w:t>
      </w:r>
      <w:r>
        <w:rPr>
          <w:rStyle w:val="FootnoteReference"/>
          <w:rFonts w:ascii="Garamond" w:hAnsi="Garamond"/>
          <w:lang w:val="en-US"/>
        </w:rPr>
        <w:footnoteReference w:id="1"/>
      </w:r>
      <w:r>
        <w:rPr>
          <w:rFonts w:ascii="Garamond" w:hAnsi="Garamond"/>
          <w:lang w:val="en-US"/>
        </w:rPr>
        <w:t xml:space="preserve"> </w:t>
      </w:r>
    </w:p>
    <w:p w14:paraId="63493AE3" w14:textId="1E2FE329" w:rsidR="0002001C" w:rsidRDefault="0002001C" w:rsidP="0002001C">
      <w:pPr>
        <w:pStyle w:val="ListParagraph"/>
        <w:numPr>
          <w:ilvl w:val="0"/>
          <w:numId w:val="2"/>
        </w:numPr>
        <w:rPr>
          <w:rFonts w:ascii="Garamond" w:hAnsi="Garamond"/>
          <w:lang w:val="en-US"/>
        </w:rPr>
      </w:pPr>
      <w:r>
        <w:rPr>
          <w:rFonts w:ascii="Garamond" w:hAnsi="Garamond"/>
          <w:lang w:val="en-US"/>
        </w:rPr>
        <w:t xml:space="preserve">E.g.: “This paper argues that the doctrine of divine aseity commits us to a meticulous view of divine providence. To this end, this paper moves in three steps. Firstly, I expound on the relevant biblical texts. Secondly, I draw from </w:t>
      </w:r>
      <w:proofErr w:type="spellStart"/>
      <w:r>
        <w:rPr>
          <w:rFonts w:ascii="Garamond" w:hAnsi="Garamond"/>
          <w:lang w:val="en-US"/>
        </w:rPr>
        <w:t>Turretin’s</w:t>
      </w:r>
      <w:proofErr w:type="spellEnd"/>
      <w:r>
        <w:rPr>
          <w:rFonts w:ascii="Garamond" w:hAnsi="Garamond"/>
          <w:lang w:val="en-US"/>
        </w:rPr>
        <w:t xml:space="preserve"> arguments relating aseity and providence. Thirdly, I address a few objections I can anticipate against the above argument…” </w:t>
      </w:r>
    </w:p>
    <w:p w14:paraId="0B650FA1" w14:textId="77777777" w:rsidR="0002001C" w:rsidRDefault="0002001C" w:rsidP="0002001C">
      <w:pPr>
        <w:rPr>
          <w:rFonts w:ascii="Garamond" w:hAnsi="Garamond"/>
          <w:lang w:val="en-US"/>
        </w:rPr>
      </w:pPr>
    </w:p>
    <w:p w14:paraId="3F153BF3" w14:textId="77777777" w:rsidR="0002001C" w:rsidRDefault="0002001C" w:rsidP="0002001C">
      <w:pPr>
        <w:rPr>
          <w:rFonts w:ascii="Garamond" w:hAnsi="Garamond"/>
          <w:lang w:val="en-US"/>
        </w:rPr>
      </w:pPr>
      <w:r>
        <w:rPr>
          <w:rFonts w:ascii="Garamond" w:hAnsi="Garamond"/>
          <w:lang w:val="en-US"/>
        </w:rPr>
        <w:t>The body of the paper should consist in clearly structured arguments that contribute to vindicating the thesis.</w:t>
      </w:r>
    </w:p>
    <w:p w14:paraId="2CA9B66A" w14:textId="058C8B3B" w:rsidR="0002001C" w:rsidRDefault="0002001C" w:rsidP="0002001C">
      <w:pPr>
        <w:pStyle w:val="ListParagraph"/>
        <w:numPr>
          <w:ilvl w:val="0"/>
          <w:numId w:val="2"/>
        </w:numPr>
        <w:rPr>
          <w:rFonts w:ascii="Garamond" w:hAnsi="Garamond"/>
          <w:lang w:val="en-US"/>
        </w:rPr>
      </w:pPr>
      <w:r>
        <w:rPr>
          <w:rFonts w:ascii="Garamond" w:hAnsi="Garamond"/>
          <w:lang w:val="en-US"/>
        </w:rPr>
        <w:t xml:space="preserve">E.g. “The name of God discloses the fullness and purity of God’s being and act, and this shows that God’s acts are uncaused by anything outside of God.” </w:t>
      </w:r>
    </w:p>
    <w:p w14:paraId="05C7D1E2" w14:textId="223D5D7D" w:rsidR="0002001C" w:rsidRPr="00091AC8" w:rsidRDefault="0002001C" w:rsidP="0002001C">
      <w:pPr>
        <w:pStyle w:val="ListParagraph"/>
        <w:numPr>
          <w:ilvl w:val="0"/>
          <w:numId w:val="2"/>
        </w:numPr>
        <w:rPr>
          <w:rFonts w:ascii="Garamond" w:hAnsi="Garamond"/>
          <w:lang w:val="en-US"/>
        </w:rPr>
      </w:pPr>
      <w:r>
        <w:rPr>
          <w:rFonts w:ascii="Garamond" w:hAnsi="Garamond"/>
          <w:lang w:val="en-US"/>
        </w:rPr>
        <w:t>E.g. “</w:t>
      </w:r>
      <w:proofErr w:type="spellStart"/>
      <w:r>
        <w:rPr>
          <w:rFonts w:ascii="Garamond" w:hAnsi="Garamond"/>
          <w:lang w:val="en-US"/>
        </w:rPr>
        <w:t>Turretin</w:t>
      </w:r>
      <w:r w:rsidR="004278B6">
        <w:rPr>
          <w:rFonts w:ascii="Garamond" w:hAnsi="Garamond"/>
          <w:lang w:val="en-US"/>
        </w:rPr>
        <w:t>’s</w:t>
      </w:r>
      <w:proofErr w:type="spellEnd"/>
      <w:r>
        <w:rPr>
          <w:rFonts w:ascii="Garamond" w:hAnsi="Garamond"/>
          <w:lang w:val="en-US"/>
        </w:rPr>
        <w:t xml:space="preserve"> argument contributes to my thesis in the following way…showing that divine foreknowledge is not like an act of spectating…”  </w:t>
      </w:r>
    </w:p>
    <w:p w14:paraId="5DCB889E" w14:textId="77777777" w:rsidR="0002001C" w:rsidRDefault="0002001C" w:rsidP="0002001C">
      <w:pPr>
        <w:rPr>
          <w:rFonts w:ascii="Garamond" w:hAnsi="Garamond"/>
          <w:lang w:val="en-US"/>
        </w:rPr>
      </w:pPr>
    </w:p>
    <w:p w14:paraId="6444F41B" w14:textId="77777777" w:rsidR="0002001C" w:rsidRDefault="0002001C" w:rsidP="0002001C">
      <w:pPr>
        <w:rPr>
          <w:rFonts w:ascii="Garamond" w:hAnsi="Garamond"/>
          <w:lang w:val="en-US"/>
        </w:rPr>
      </w:pPr>
      <w:r>
        <w:rPr>
          <w:rFonts w:ascii="Garamond" w:hAnsi="Garamond"/>
          <w:lang w:val="en-US"/>
        </w:rPr>
        <w:t xml:space="preserve">Pay close attention to </w:t>
      </w:r>
      <w:r>
        <w:rPr>
          <w:rFonts w:ascii="Garamond" w:hAnsi="Garamond"/>
          <w:i/>
          <w:lang w:val="en-US"/>
        </w:rPr>
        <w:t>primary sources</w:t>
      </w:r>
      <w:r>
        <w:rPr>
          <w:rFonts w:ascii="Garamond" w:hAnsi="Garamond"/>
          <w:lang w:val="en-US"/>
        </w:rPr>
        <w:t xml:space="preserve">, using </w:t>
      </w:r>
      <w:r w:rsidRPr="001D6559">
        <w:rPr>
          <w:rFonts w:ascii="Garamond" w:hAnsi="Garamond"/>
          <w:i/>
          <w:lang w:val="en-US"/>
        </w:rPr>
        <w:t>secondary sources</w:t>
      </w:r>
      <w:r>
        <w:rPr>
          <w:rFonts w:ascii="Garamond" w:hAnsi="Garamond"/>
          <w:lang w:val="en-US"/>
        </w:rPr>
        <w:t xml:space="preserve">, where relevant, to identify the </w:t>
      </w:r>
      <w:r>
        <w:rPr>
          <w:rFonts w:ascii="Garamond" w:hAnsi="Garamond"/>
          <w:i/>
          <w:lang w:val="en-US"/>
        </w:rPr>
        <w:t>state of the question</w:t>
      </w:r>
      <w:r>
        <w:rPr>
          <w:rFonts w:ascii="Garamond" w:hAnsi="Garamond"/>
          <w:lang w:val="en-US"/>
        </w:rPr>
        <w:t xml:space="preserve">, and to clarify your reading of the primary sources. </w:t>
      </w:r>
    </w:p>
    <w:p w14:paraId="4455A06D" w14:textId="32328F29" w:rsidR="0002001C" w:rsidRDefault="0002001C" w:rsidP="0002001C">
      <w:pPr>
        <w:pStyle w:val="ListParagraph"/>
        <w:numPr>
          <w:ilvl w:val="0"/>
          <w:numId w:val="2"/>
        </w:numPr>
        <w:rPr>
          <w:rFonts w:ascii="Garamond" w:hAnsi="Garamond"/>
          <w:lang w:val="en-US"/>
        </w:rPr>
      </w:pPr>
      <w:r>
        <w:rPr>
          <w:rFonts w:ascii="Garamond" w:hAnsi="Garamond"/>
          <w:lang w:val="en-US"/>
        </w:rPr>
        <w:t xml:space="preserve">E.g. “While Smith argues that </w:t>
      </w:r>
      <w:proofErr w:type="spellStart"/>
      <w:r>
        <w:rPr>
          <w:rFonts w:ascii="Garamond" w:hAnsi="Garamond"/>
          <w:lang w:val="en-US"/>
        </w:rPr>
        <w:t>Turretin</w:t>
      </w:r>
      <w:proofErr w:type="spellEnd"/>
      <w:r>
        <w:rPr>
          <w:rFonts w:ascii="Garamond" w:hAnsi="Garamond"/>
          <w:lang w:val="en-US"/>
        </w:rPr>
        <w:t xml:space="preserve"> harbors </w:t>
      </w:r>
      <w:proofErr w:type="spellStart"/>
      <w:r>
        <w:rPr>
          <w:rFonts w:ascii="Garamond" w:hAnsi="Garamond"/>
          <w:lang w:val="en-US"/>
        </w:rPr>
        <w:t>Molinist</w:t>
      </w:r>
      <w:proofErr w:type="spellEnd"/>
      <w:r>
        <w:rPr>
          <w:rFonts w:ascii="Garamond" w:hAnsi="Garamond"/>
          <w:lang w:val="en-US"/>
        </w:rPr>
        <w:t xml:space="preserve"> sympathies, the reading from Question 13 seems to go against Smith’s interpretation” </w:t>
      </w:r>
    </w:p>
    <w:p w14:paraId="23F84FAA" w14:textId="58C4CAD3" w:rsidR="0002001C" w:rsidRDefault="0002001C" w:rsidP="0002001C">
      <w:pPr>
        <w:pStyle w:val="ListParagraph"/>
        <w:numPr>
          <w:ilvl w:val="0"/>
          <w:numId w:val="2"/>
        </w:numPr>
        <w:rPr>
          <w:rFonts w:ascii="Garamond" w:hAnsi="Garamond"/>
          <w:lang w:val="en-US"/>
        </w:rPr>
      </w:pPr>
      <w:r>
        <w:rPr>
          <w:rFonts w:ascii="Garamond" w:hAnsi="Garamond"/>
          <w:lang w:val="en-US"/>
        </w:rPr>
        <w:t xml:space="preserve">E.g.: “Lowe’s objections against the distinction between free and necessary knowledge require further nuance, and I </w:t>
      </w:r>
      <w:r w:rsidR="004278B6">
        <w:rPr>
          <w:rFonts w:ascii="Garamond" w:hAnsi="Garamond"/>
          <w:lang w:val="en-US"/>
        </w:rPr>
        <w:t xml:space="preserve">argue that </w:t>
      </w:r>
      <w:r>
        <w:rPr>
          <w:rFonts w:ascii="Garamond" w:hAnsi="Garamond"/>
          <w:lang w:val="en-US"/>
        </w:rPr>
        <w:t xml:space="preserve">a response is resident in </w:t>
      </w:r>
      <w:proofErr w:type="spellStart"/>
      <w:r>
        <w:rPr>
          <w:rFonts w:ascii="Garamond" w:hAnsi="Garamond"/>
          <w:lang w:val="en-US"/>
        </w:rPr>
        <w:t>Turretin’s</w:t>
      </w:r>
      <w:proofErr w:type="spellEnd"/>
      <w:r>
        <w:rPr>
          <w:rFonts w:ascii="Garamond" w:hAnsi="Garamond"/>
          <w:lang w:val="en-US"/>
        </w:rPr>
        <w:t xml:space="preserve"> own text…”  </w:t>
      </w:r>
    </w:p>
    <w:p w14:paraId="0814ECFA" w14:textId="5555FC5F" w:rsidR="0002001C" w:rsidRDefault="0002001C" w:rsidP="0002001C">
      <w:pPr>
        <w:rPr>
          <w:rFonts w:ascii="Garamond" w:hAnsi="Garamond"/>
          <w:lang w:val="en-US"/>
        </w:rPr>
      </w:pPr>
    </w:p>
    <w:p w14:paraId="5EBFA2F3" w14:textId="280368CB" w:rsidR="0002001C" w:rsidRDefault="0002001C" w:rsidP="0002001C">
      <w:pPr>
        <w:rPr>
          <w:rFonts w:ascii="Garamond" w:hAnsi="Garamond"/>
          <w:lang w:val="en-US"/>
        </w:rPr>
      </w:pPr>
      <w:r>
        <w:rPr>
          <w:rFonts w:ascii="Garamond" w:hAnsi="Garamond"/>
          <w:lang w:val="en-US"/>
        </w:rPr>
        <w:t xml:space="preserve">Paper topics could historical-theological (exploring the views of particular historical trajectories or figures on a theological topic, with the goal of contemporary theological renewal), or constructive/deconstructive (presenting an argument for or against one particular theological view, with the aids of Scripture and historical theology). </w:t>
      </w:r>
    </w:p>
    <w:p w14:paraId="25D808B7" w14:textId="77777777" w:rsidR="0002001C" w:rsidRDefault="0002001C" w:rsidP="0002001C">
      <w:pPr>
        <w:rPr>
          <w:rFonts w:ascii="Garamond" w:hAnsi="Garamond"/>
          <w:lang w:val="en-US"/>
        </w:rPr>
      </w:pPr>
    </w:p>
    <w:p w14:paraId="0741EB42" w14:textId="769E0BB1" w:rsidR="0002001C" w:rsidRDefault="0002001C" w:rsidP="0002001C">
      <w:pPr>
        <w:rPr>
          <w:rFonts w:ascii="Garamond" w:hAnsi="Garamond"/>
          <w:lang w:val="en-US"/>
        </w:rPr>
      </w:pPr>
      <w:r>
        <w:rPr>
          <w:rFonts w:ascii="Garamond" w:hAnsi="Garamond"/>
          <w:lang w:val="en-US"/>
        </w:rPr>
        <w:t xml:space="preserve">Sample paper topics: </w:t>
      </w:r>
    </w:p>
    <w:p w14:paraId="28337372" w14:textId="25693883" w:rsidR="0002001C" w:rsidRDefault="0002001C" w:rsidP="0002001C">
      <w:pPr>
        <w:pStyle w:val="ListParagraph"/>
        <w:numPr>
          <w:ilvl w:val="0"/>
          <w:numId w:val="4"/>
        </w:numPr>
        <w:rPr>
          <w:rFonts w:ascii="Garamond" w:hAnsi="Garamond"/>
          <w:lang w:val="en-US"/>
        </w:rPr>
      </w:pPr>
      <w:r>
        <w:rPr>
          <w:rFonts w:ascii="Garamond" w:hAnsi="Garamond"/>
          <w:lang w:val="en-US"/>
        </w:rPr>
        <w:t>Divine simplicity and aseity: defining their relationship</w:t>
      </w:r>
    </w:p>
    <w:p w14:paraId="58E79802" w14:textId="2ED7DE93" w:rsidR="0002001C" w:rsidRDefault="0002001C" w:rsidP="0002001C">
      <w:pPr>
        <w:pStyle w:val="ListParagraph"/>
        <w:numPr>
          <w:ilvl w:val="0"/>
          <w:numId w:val="4"/>
        </w:numPr>
        <w:rPr>
          <w:rFonts w:ascii="Garamond" w:hAnsi="Garamond"/>
          <w:lang w:val="en-US"/>
        </w:rPr>
      </w:pPr>
      <w:r>
        <w:rPr>
          <w:rFonts w:ascii="Garamond" w:hAnsi="Garamond"/>
          <w:lang w:val="en-US"/>
        </w:rPr>
        <w:t>The Image of God: Barth and Bavinck</w:t>
      </w:r>
    </w:p>
    <w:p w14:paraId="06EB03F1" w14:textId="6A8CBB36" w:rsidR="0002001C" w:rsidRDefault="0002001C" w:rsidP="0002001C">
      <w:pPr>
        <w:pStyle w:val="ListParagraph"/>
        <w:numPr>
          <w:ilvl w:val="0"/>
          <w:numId w:val="4"/>
        </w:numPr>
        <w:rPr>
          <w:rFonts w:ascii="Garamond" w:hAnsi="Garamond"/>
          <w:lang w:val="en-US"/>
        </w:rPr>
      </w:pPr>
      <w:r>
        <w:rPr>
          <w:rFonts w:ascii="Garamond" w:hAnsi="Garamond"/>
          <w:lang w:val="en-US"/>
        </w:rPr>
        <w:t>Revelation and Illumination: scope and ends</w:t>
      </w:r>
    </w:p>
    <w:p w14:paraId="33F70612" w14:textId="2A3FD950" w:rsidR="0002001C" w:rsidRDefault="0002001C" w:rsidP="0002001C">
      <w:pPr>
        <w:pStyle w:val="ListParagraph"/>
        <w:numPr>
          <w:ilvl w:val="0"/>
          <w:numId w:val="4"/>
        </w:numPr>
        <w:rPr>
          <w:rFonts w:ascii="Garamond" w:hAnsi="Garamond"/>
          <w:lang w:val="en-US"/>
        </w:rPr>
      </w:pPr>
      <w:r>
        <w:rPr>
          <w:rFonts w:ascii="Garamond" w:hAnsi="Garamond"/>
          <w:lang w:val="en-US"/>
        </w:rPr>
        <w:t xml:space="preserve">Kuyper and Warfield on the inspiration of Scripture </w:t>
      </w:r>
    </w:p>
    <w:p w14:paraId="6E809160" w14:textId="39768D04" w:rsidR="0002001C" w:rsidRDefault="004278B6" w:rsidP="0002001C">
      <w:pPr>
        <w:pStyle w:val="ListParagraph"/>
        <w:numPr>
          <w:ilvl w:val="0"/>
          <w:numId w:val="4"/>
        </w:numPr>
        <w:rPr>
          <w:rFonts w:ascii="Garamond" w:hAnsi="Garamond"/>
          <w:lang w:val="en-US"/>
        </w:rPr>
      </w:pPr>
      <w:r>
        <w:rPr>
          <w:rFonts w:ascii="Garamond" w:hAnsi="Garamond"/>
          <w:lang w:val="en-US"/>
        </w:rPr>
        <w:t xml:space="preserve">Trinity and creation in the theology of Thomas Aquinas </w:t>
      </w:r>
    </w:p>
    <w:p w14:paraId="36CE3D6F" w14:textId="77777777" w:rsidR="004278B6" w:rsidRPr="004278B6" w:rsidRDefault="004278B6" w:rsidP="004278B6">
      <w:pPr>
        <w:rPr>
          <w:rFonts w:ascii="Garamond" w:hAnsi="Garamond"/>
          <w:lang w:val="en-US"/>
        </w:rPr>
      </w:pPr>
    </w:p>
    <w:p w14:paraId="0102FA8A" w14:textId="140C979D" w:rsidR="0002001C" w:rsidRDefault="0002001C" w:rsidP="0002001C">
      <w:pPr>
        <w:rPr>
          <w:rFonts w:ascii="Garamond" w:hAnsi="Garamond"/>
          <w:lang w:val="en-US"/>
        </w:rPr>
      </w:pPr>
      <w:r>
        <w:rPr>
          <w:rFonts w:ascii="Garamond" w:hAnsi="Garamond"/>
          <w:lang w:val="en-US"/>
        </w:rPr>
        <w:lastRenderedPageBreak/>
        <w:t xml:space="preserve">Late papers will receive a decrease of half a letter grade (from A to A-) for every day it is late. </w:t>
      </w:r>
    </w:p>
    <w:p w14:paraId="42212E9D" w14:textId="0E0608F1" w:rsidR="004278B6" w:rsidRDefault="004278B6" w:rsidP="0002001C">
      <w:pPr>
        <w:rPr>
          <w:rFonts w:ascii="Garamond" w:hAnsi="Garamond"/>
          <w:lang w:val="en-US"/>
        </w:rPr>
      </w:pPr>
    </w:p>
    <w:p w14:paraId="1891B91B" w14:textId="6676F2EA" w:rsidR="004278B6" w:rsidRPr="004278B6" w:rsidRDefault="004278B6" w:rsidP="004278B6">
      <w:pPr>
        <w:jc w:val="center"/>
        <w:rPr>
          <w:rFonts w:ascii="Garamond" w:hAnsi="Garamond"/>
          <w:b/>
          <w:lang w:val="en-US"/>
        </w:rPr>
      </w:pPr>
      <w:r w:rsidRPr="004278B6">
        <w:rPr>
          <w:rFonts w:ascii="Garamond" w:hAnsi="Garamond"/>
          <w:b/>
          <w:lang w:val="en-US"/>
        </w:rPr>
        <w:t>On Exams:</w:t>
      </w:r>
    </w:p>
    <w:p w14:paraId="7C51DA63" w14:textId="6B3410EE" w:rsidR="004278B6" w:rsidRDefault="004278B6" w:rsidP="004278B6">
      <w:pPr>
        <w:rPr>
          <w:rFonts w:ascii="Garamond" w:hAnsi="Garamond"/>
          <w:lang w:val="en-US"/>
        </w:rPr>
      </w:pPr>
    </w:p>
    <w:p w14:paraId="477A7C29" w14:textId="55020AEF" w:rsidR="004278B6" w:rsidRDefault="004278B6" w:rsidP="004278B6">
      <w:pPr>
        <w:rPr>
          <w:rFonts w:ascii="Garamond" w:hAnsi="Garamond"/>
          <w:lang w:val="en-US"/>
        </w:rPr>
      </w:pPr>
      <w:r>
        <w:rPr>
          <w:rFonts w:ascii="Garamond" w:hAnsi="Garamond"/>
          <w:lang w:val="en-US"/>
        </w:rPr>
        <w:t xml:space="preserve">The final exam will consist in a selection of short essays and long essay questions. Write as clearly and exhaustively as you can, with as much detail as you can, in proper paragraphs. Students will choose 5 out of 8 short essay prompts (worth 10 points each), and 2 out of 3 long essay prompts (worth 25 points each). </w:t>
      </w:r>
    </w:p>
    <w:p w14:paraId="1C451C61" w14:textId="54251412" w:rsidR="004278B6" w:rsidRDefault="004278B6" w:rsidP="004278B6">
      <w:pPr>
        <w:rPr>
          <w:rFonts w:ascii="Garamond" w:hAnsi="Garamond"/>
          <w:lang w:val="en-US"/>
        </w:rPr>
      </w:pPr>
      <w:r>
        <w:rPr>
          <w:rFonts w:ascii="Garamond" w:hAnsi="Garamond"/>
          <w:lang w:val="en-US"/>
        </w:rPr>
        <w:br/>
        <w:t xml:space="preserve">Sample short essay questions (answer in 1-3 paragraphs) </w:t>
      </w:r>
    </w:p>
    <w:p w14:paraId="6FCF71BF" w14:textId="456ADAAE" w:rsidR="004278B6" w:rsidRDefault="004278B6" w:rsidP="004278B6">
      <w:pPr>
        <w:pStyle w:val="ListParagraph"/>
        <w:numPr>
          <w:ilvl w:val="0"/>
          <w:numId w:val="5"/>
        </w:numPr>
        <w:rPr>
          <w:rFonts w:ascii="Garamond" w:hAnsi="Garamond"/>
          <w:lang w:val="en-US"/>
        </w:rPr>
      </w:pPr>
      <w:r>
        <w:rPr>
          <w:rFonts w:ascii="Garamond" w:hAnsi="Garamond"/>
          <w:lang w:val="en-US"/>
        </w:rPr>
        <w:t>Define archetypal and ectypal theology</w:t>
      </w:r>
    </w:p>
    <w:p w14:paraId="2F542E69" w14:textId="094BC43E" w:rsidR="004278B6" w:rsidRDefault="004278B6" w:rsidP="004278B6">
      <w:pPr>
        <w:pStyle w:val="ListParagraph"/>
        <w:numPr>
          <w:ilvl w:val="0"/>
          <w:numId w:val="5"/>
        </w:numPr>
        <w:rPr>
          <w:rFonts w:ascii="Garamond" w:hAnsi="Garamond"/>
          <w:lang w:val="en-US"/>
        </w:rPr>
      </w:pPr>
      <w:r>
        <w:rPr>
          <w:rFonts w:ascii="Garamond" w:hAnsi="Garamond"/>
          <w:lang w:val="en-US"/>
        </w:rPr>
        <w:t xml:space="preserve">Define the theology of the pilgrim, the blessed, and of union. </w:t>
      </w:r>
    </w:p>
    <w:p w14:paraId="3AB43C57" w14:textId="5A1B319B" w:rsidR="004278B6" w:rsidRDefault="004278B6" w:rsidP="004278B6">
      <w:pPr>
        <w:pStyle w:val="ListParagraph"/>
        <w:numPr>
          <w:ilvl w:val="0"/>
          <w:numId w:val="5"/>
        </w:numPr>
        <w:rPr>
          <w:rFonts w:ascii="Garamond" w:hAnsi="Garamond"/>
          <w:lang w:val="en-US"/>
        </w:rPr>
      </w:pPr>
      <w:r>
        <w:rPr>
          <w:rFonts w:ascii="Garamond" w:hAnsi="Garamond"/>
          <w:lang w:val="en-US"/>
        </w:rPr>
        <w:t xml:space="preserve">Articulate the proper relationship between general and special revelation </w:t>
      </w:r>
    </w:p>
    <w:p w14:paraId="604AEAE3" w14:textId="53048062" w:rsidR="004278B6" w:rsidRDefault="004278B6" w:rsidP="004278B6">
      <w:pPr>
        <w:pStyle w:val="ListParagraph"/>
        <w:numPr>
          <w:ilvl w:val="0"/>
          <w:numId w:val="5"/>
        </w:numPr>
        <w:rPr>
          <w:rFonts w:ascii="Garamond" w:hAnsi="Garamond"/>
          <w:lang w:val="en-US"/>
        </w:rPr>
      </w:pPr>
      <w:r>
        <w:rPr>
          <w:rFonts w:ascii="Garamond" w:hAnsi="Garamond"/>
          <w:lang w:val="en-US"/>
        </w:rPr>
        <w:t xml:space="preserve">In what way(s) does Bonaventure believe that the human soul images the Triune God? </w:t>
      </w:r>
    </w:p>
    <w:p w14:paraId="3F901434" w14:textId="5BDAF841" w:rsidR="004278B6" w:rsidRDefault="004278B6" w:rsidP="004278B6">
      <w:pPr>
        <w:rPr>
          <w:rFonts w:ascii="Garamond" w:hAnsi="Garamond"/>
          <w:lang w:val="en-US"/>
        </w:rPr>
      </w:pPr>
    </w:p>
    <w:p w14:paraId="7A72B598" w14:textId="7EDD1A3E" w:rsidR="004278B6" w:rsidRDefault="004278B6" w:rsidP="004278B6">
      <w:pPr>
        <w:rPr>
          <w:rFonts w:ascii="Garamond" w:hAnsi="Garamond"/>
          <w:lang w:val="en-US"/>
        </w:rPr>
      </w:pPr>
      <w:r>
        <w:rPr>
          <w:rFonts w:ascii="Garamond" w:hAnsi="Garamond"/>
          <w:lang w:val="en-US"/>
        </w:rPr>
        <w:t xml:space="preserve">Sample long essay questions (be as exhaustive as you can). </w:t>
      </w:r>
    </w:p>
    <w:p w14:paraId="1502030F" w14:textId="03B9FA7E" w:rsidR="004278B6" w:rsidRDefault="004278B6" w:rsidP="004278B6">
      <w:pPr>
        <w:pStyle w:val="ListParagraph"/>
        <w:numPr>
          <w:ilvl w:val="0"/>
          <w:numId w:val="6"/>
        </w:numPr>
        <w:rPr>
          <w:rFonts w:ascii="Garamond" w:hAnsi="Garamond"/>
          <w:lang w:val="en-US"/>
        </w:rPr>
      </w:pPr>
      <w:r>
        <w:rPr>
          <w:rFonts w:ascii="Garamond" w:hAnsi="Garamond"/>
          <w:lang w:val="en-US"/>
        </w:rPr>
        <w:t xml:space="preserve">Define and defend the doctrine of divine aseity from Scripture and the Reformed tradition </w:t>
      </w:r>
    </w:p>
    <w:p w14:paraId="10CB7530" w14:textId="734B2F0A" w:rsidR="004278B6" w:rsidRPr="004278B6" w:rsidRDefault="004278B6" w:rsidP="004278B6">
      <w:pPr>
        <w:pStyle w:val="ListParagraph"/>
        <w:numPr>
          <w:ilvl w:val="0"/>
          <w:numId w:val="6"/>
        </w:numPr>
        <w:rPr>
          <w:rFonts w:ascii="Garamond" w:hAnsi="Garamond"/>
          <w:lang w:val="en-US"/>
        </w:rPr>
      </w:pPr>
      <w:r>
        <w:rPr>
          <w:rFonts w:ascii="Garamond" w:hAnsi="Garamond"/>
          <w:lang w:val="en-US"/>
        </w:rPr>
        <w:t>Outline, defend, and articulate th</w:t>
      </w:r>
      <w:r w:rsidR="008B6ABA">
        <w:rPr>
          <w:rFonts w:ascii="Garamond" w:hAnsi="Garamond"/>
          <w:lang w:val="en-US"/>
        </w:rPr>
        <w:t xml:space="preserve">e doctrine of the image of God and its implications. </w:t>
      </w:r>
    </w:p>
    <w:p w14:paraId="4C3F0319" w14:textId="2866B2C5" w:rsidR="004278B6" w:rsidRDefault="004278B6" w:rsidP="0002001C">
      <w:pPr>
        <w:rPr>
          <w:rFonts w:ascii="Garamond" w:hAnsi="Garamond"/>
          <w:lang w:val="en-US"/>
        </w:rPr>
      </w:pPr>
    </w:p>
    <w:p w14:paraId="69D58AA8" w14:textId="77777777" w:rsidR="001D6559" w:rsidRDefault="001D6559">
      <w:pPr>
        <w:rPr>
          <w:rFonts w:ascii="Garamond" w:hAnsi="Garamond"/>
          <w:lang w:val="en-US"/>
        </w:rPr>
      </w:pPr>
    </w:p>
    <w:p w14:paraId="5AA8A948" w14:textId="0397D848" w:rsidR="001D6559" w:rsidRDefault="001D6559" w:rsidP="001D6559">
      <w:pPr>
        <w:jc w:val="center"/>
        <w:rPr>
          <w:rFonts w:ascii="Garamond" w:hAnsi="Garamond"/>
          <w:lang w:val="en-US"/>
        </w:rPr>
      </w:pPr>
      <w:r w:rsidRPr="001D6559">
        <w:rPr>
          <w:rFonts w:ascii="Garamond" w:hAnsi="Garamond"/>
          <w:b/>
          <w:lang w:val="en-US"/>
        </w:rPr>
        <w:t>Select Bibliography</w:t>
      </w:r>
    </w:p>
    <w:p w14:paraId="7350F195" w14:textId="11C92F7A" w:rsidR="001D6559" w:rsidRDefault="001D6559" w:rsidP="001D6559">
      <w:pPr>
        <w:jc w:val="center"/>
        <w:rPr>
          <w:rFonts w:ascii="Garamond" w:hAnsi="Garamond"/>
          <w:lang w:val="en-US"/>
        </w:rPr>
      </w:pPr>
      <w:r>
        <w:rPr>
          <w:rFonts w:ascii="Garamond" w:hAnsi="Garamond"/>
          <w:lang w:val="en-US"/>
        </w:rPr>
        <w:t xml:space="preserve">(Other than the primary sources recommended above, such as Calvin, </w:t>
      </w:r>
      <w:proofErr w:type="spellStart"/>
      <w:r>
        <w:rPr>
          <w:rFonts w:ascii="Garamond" w:hAnsi="Garamond"/>
          <w:lang w:val="en-US"/>
        </w:rPr>
        <w:t>Turretin</w:t>
      </w:r>
      <w:proofErr w:type="spellEnd"/>
      <w:r>
        <w:rPr>
          <w:rFonts w:ascii="Garamond" w:hAnsi="Garamond"/>
          <w:lang w:val="en-US"/>
        </w:rPr>
        <w:t xml:space="preserve">, </w:t>
      </w:r>
      <w:proofErr w:type="spellStart"/>
      <w:r>
        <w:rPr>
          <w:rFonts w:ascii="Garamond" w:hAnsi="Garamond"/>
          <w:lang w:val="en-US"/>
        </w:rPr>
        <w:t>Junius</w:t>
      </w:r>
      <w:proofErr w:type="spellEnd"/>
      <w:r>
        <w:rPr>
          <w:rFonts w:ascii="Garamond" w:hAnsi="Garamond"/>
          <w:lang w:val="en-US"/>
        </w:rPr>
        <w:t xml:space="preserve">, Van </w:t>
      </w:r>
      <w:proofErr w:type="spellStart"/>
      <w:r>
        <w:rPr>
          <w:rFonts w:ascii="Garamond" w:hAnsi="Garamond"/>
          <w:lang w:val="en-US"/>
        </w:rPr>
        <w:t>Mastricht</w:t>
      </w:r>
      <w:proofErr w:type="spellEnd"/>
      <w:r>
        <w:rPr>
          <w:rFonts w:ascii="Garamond" w:hAnsi="Garamond"/>
          <w:lang w:val="en-US"/>
        </w:rPr>
        <w:t>,  Kuyper, and Vos)</w:t>
      </w:r>
    </w:p>
    <w:p w14:paraId="2D898E2E" w14:textId="789D719D" w:rsidR="001D6559" w:rsidRDefault="001D6559" w:rsidP="001D6559">
      <w:pPr>
        <w:rPr>
          <w:rFonts w:ascii="Garamond" w:hAnsi="Garamond"/>
          <w:lang w:val="en-US"/>
        </w:rPr>
      </w:pPr>
    </w:p>
    <w:p w14:paraId="490FA3BD" w14:textId="6913B025" w:rsidR="001D6559" w:rsidRDefault="001D6559" w:rsidP="001D6559">
      <w:pPr>
        <w:rPr>
          <w:rFonts w:ascii="Garamond" w:hAnsi="Garamond"/>
          <w:lang w:val="en-US"/>
        </w:rPr>
      </w:pPr>
      <w:r>
        <w:rPr>
          <w:rFonts w:ascii="Garamond" w:hAnsi="Garamond"/>
          <w:lang w:val="en-US"/>
        </w:rPr>
        <w:t xml:space="preserve">Allen, Michael and Scott Swain. </w:t>
      </w:r>
      <w:r>
        <w:rPr>
          <w:rFonts w:ascii="Garamond" w:hAnsi="Garamond"/>
          <w:i/>
          <w:lang w:val="en-US"/>
        </w:rPr>
        <w:t xml:space="preserve">Reformed Catholicity </w:t>
      </w:r>
      <w:r>
        <w:rPr>
          <w:rFonts w:ascii="Garamond" w:hAnsi="Garamond"/>
          <w:lang w:val="en-US"/>
        </w:rPr>
        <w:t>(Baker Academic, 2015)</w:t>
      </w:r>
    </w:p>
    <w:p w14:paraId="33597919" w14:textId="2FB24790" w:rsidR="001D6559" w:rsidRDefault="001D6559" w:rsidP="001D6559">
      <w:pPr>
        <w:rPr>
          <w:rFonts w:ascii="Garamond" w:hAnsi="Garamond"/>
          <w:lang w:val="en-US"/>
        </w:rPr>
      </w:pPr>
      <w:r>
        <w:rPr>
          <w:rFonts w:ascii="Garamond" w:hAnsi="Garamond"/>
          <w:lang w:val="en-US"/>
        </w:rPr>
        <w:t xml:space="preserve">Anderson, James, and Paul </w:t>
      </w:r>
      <w:proofErr w:type="spellStart"/>
      <w:r>
        <w:rPr>
          <w:rFonts w:ascii="Garamond" w:hAnsi="Garamond"/>
          <w:lang w:val="en-US"/>
        </w:rPr>
        <w:t>Manata</w:t>
      </w:r>
      <w:proofErr w:type="spellEnd"/>
      <w:r>
        <w:rPr>
          <w:rFonts w:ascii="Garamond" w:hAnsi="Garamond"/>
          <w:lang w:val="en-US"/>
        </w:rPr>
        <w:t xml:space="preserve">. “Determined to Come Most Freely,” </w:t>
      </w:r>
      <w:r>
        <w:rPr>
          <w:rFonts w:ascii="Garamond" w:hAnsi="Garamond"/>
          <w:i/>
          <w:lang w:val="en-US"/>
        </w:rPr>
        <w:t xml:space="preserve">Journal of Reformed Theology </w:t>
      </w:r>
      <w:r>
        <w:rPr>
          <w:rFonts w:ascii="Garamond" w:hAnsi="Garamond"/>
          <w:lang w:val="en-US"/>
        </w:rPr>
        <w:t>(2017): 272-97</w:t>
      </w:r>
    </w:p>
    <w:p w14:paraId="5C93698D" w14:textId="2672A799" w:rsidR="001D6559" w:rsidRDefault="001D6559" w:rsidP="001D6559">
      <w:pPr>
        <w:rPr>
          <w:rFonts w:ascii="Garamond" w:hAnsi="Garamond"/>
          <w:lang w:val="en-US"/>
        </w:rPr>
      </w:pPr>
      <w:r>
        <w:rPr>
          <w:rFonts w:ascii="Garamond" w:hAnsi="Garamond"/>
          <w:lang w:val="en-US"/>
        </w:rPr>
        <w:t xml:space="preserve">Ayres, Lewis. </w:t>
      </w:r>
      <w:r>
        <w:rPr>
          <w:rFonts w:ascii="Garamond" w:hAnsi="Garamond"/>
          <w:i/>
          <w:lang w:val="en-US"/>
        </w:rPr>
        <w:t xml:space="preserve">Nicaea and Its Legacy </w:t>
      </w:r>
      <w:r>
        <w:rPr>
          <w:rFonts w:ascii="Garamond" w:hAnsi="Garamond"/>
          <w:lang w:val="en-US"/>
        </w:rPr>
        <w:t>(Oxford, 2004)</w:t>
      </w:r>
    </w:p>
    <w:p w14:paraId="360AAA8B" w14:textId="657020F3" w:rsidR="001D6559" w:rsidRDefault="001D6559" w:rsidP="001D6559">
      <w:pPr>
        <w:rPr>
          <w:rFonts w:ascii="Garamond" w:hAnsi="Garamond"/>
          <w:lang w:val="en-US"/>
        </w:rPr>
      </w:pPr>
      <w:r>
        <w:rPr>
          <w:rFonts w:ascii="Garamond" w:hAnsi="Garamond"/>
          <w:lang w:val="en-US"/>
        </w:rPr>
        <w:t xml:space="preserve">Augustine, </w:t>
      </w:r>
      <w:r>
        <w:rPr>
          <w:rFonts w:ascii="Garamond" w:hAnsi="Garamond"/>
          <w:i/>
          <w:lang w:val="en-US"/>
        </w:rPr>
        <w:t xml:space="preserve">On The Trinity </w:t>
      </w:r>
      <w:r>
        <w:rPr>
          <w:rFonts w:ascii="Garamond" w:hAnsi="Garamond"/>
          <w:lang w:val="en-US"/>
        </w:rPr>
        <w:t>(New City Press, 2014)</w:t>
      </w:r>
    </w:p>
    <w:p w14:paraId="19ACE89D" w14:textId="02CF155B" w:rsidR="001D6559" w:rsidRDefault="001D6559" w:rsidP="001D6559">
      <w:pPr>
        <w:rPr>
          <w:rFonts w:ascii="Garamond" w:hAnsi="Garamond"/>
          <w:lang w:val="en-US"/>
        </w:rPr>
      </w:pPr>
      <w:r>
        <w:rPr>
          <w:rFonts w:ascii="Garamond" w:hAnsi="Garamond"/>
          <w:lang w:val="en-US"/>
        </w:rPr>
        <w:t>Aquinas, Thomas</w:t>
      </w:r>
      <w:r>
        <w:rPr>
          <w:rFonts w:ascii="Garamond" w:hAnsi="Garamond"/>
          <w:i/>
          <w:lang w:val="en-US"/>
        </w:rPr>
        <w:t xml:space="preserve">, Summa </w:t>
      </w:r>
      <w:proofErr w:type="spellStart"/>
      <w:r>
        <w:rPr>
          <w:rFonts w:ascii="Garamond" w:hAnsi="Garamond"/>
          <w:i/>
          <w:lang w:val="en-US"/>
        </w:rPr>
        <w:t>Theologiae</w:t>
      </w:r>
      <w:proofErr w:type="spellEnd"/>
      <w:r>
        <w:rPr>
          <w:rFonts w:ascii="Garamond" w:hAnsi="Garamond"/>
          <w:i/>
          <w:lang w:val="en-US"/>
        </w:rPr>
        <w:t xml:space="preserve"> </w:t>
      </w:r>
      <w:r>
        <w:rPr>
          <w:rFonts w:ascii="Garamond" w:hAnsi="Garamond"/>
          <w:lang w:val="en-US"/>
        </w:rPr>
        <w:t>(multiple editions; online at newadvent.org)</w:t>
      </w:r>
      <w:r>
        <w:rPr>
          <w:rFonts w:ascii="Garamond" w:hAnsi="Garamond"/>
          <w:lang w:val="en-US"/>
        </w:rPr>
        <w:br/>
        <w:t xml:space="preserve">Bavinck, Herman, </w:t>
      </w:r>
      <w:r>
        <w:rPr>
          <w:rFonts w:ascii="Garamond" w:hAnsi="Garamond"/>
          <w:i/>
          <w:lang w:val="en-US"/>
        </w:rPr>
        <w:t xml:space="preserve">Philosophy of Revelation </w:t>
      </w:r>
      <w:r>
        <w:rPr>
          <w:rFonts w:ascii="Garamond" w:hAnsi="Garamond"/>
          <w:lang w:val="en-US"/>
        </w:rPr>
        <w:t>(Hendrickson, 2018)</w:t>
      </w:r>
    </w:p>
    <w:p w14:paraId="5D72EA1F" w14:textId="407E3C85" w:rsidR="001D6559" w:rsidRPr="001D6559" w:rsidRDefault="001D6559" w:rsidP="001D6559">
      <w:pPr>
        <w:rPr>
          <w:rFonts w:ascii="Garamond" w:hAnsi="Garamond"/>
          <w:lang w:val="en-US"/>
        </w:rPr>
      </w:pPr>
      <w:r>
        <w:rPr>
          <w:rFonts w:ascii="Garamond" w:hAnsi="Garamond"/>
          <w:lang w:val="en-US"/>
        </w:rPr>
        <w:t xml:space="preserve">Bavinck, Herman, </w:t>
      </w:r>
      <w:r>
        <w:rPr>
          <w:rFonts w:ascii="Garamond" w:hAnsi="Garamond"/>
          <w:i/>
          <w:lang w:val="en-US"/>
        </w:rPr>
        <w:t xml:space="preserve">Christian Worldview </w:t>
      </w:r>
      <w:r>
        <w:rPr>
          <w:rFonts w:ascii="Garamond" w:hAnsi="Garamond"/>
          <w:lang w:val="en-US"/>
        </w:rPr>
        <w:t>(Crossway, 2019)</w:t>
      </w:r>
    </w:p>
    <w:p w14:paraId="5E3B00EE" w14:textId="5AAB593E" w:rsidR="001D6559" w:rsidRDefault="001D6559" w:rsidP="001D6559">
      <w:pPr>
        <w:rPr>
          <w:rFonts w:ascii="Garamond" w:hAnsi="Garamond"/>
          <w:lang w:val="en-US"/>
        </w:rPr>
      </w:pPr>
      <w:r>
        <w:rPr>
          <w:rFonts w:ascii="Garamond" w:hAnsi="Garamond"/>
          <w:lang w:val="en-US"/>
        </w:rPr>
        <w:t xml:space="preserve">Bavinck, Johan. </w:t>
      </w:r>
      <w:r>
        <w:rPr>
          <w:rFonts w:ascii="Garamond" w:hAnsi="Garamond"/>
          <w:i/>
          <w:lang w:val="en-US"/>
        </w:rPr>
        <w:t>Between the Beginning and the End</w:t>
      </w:r>
      <w:r>
        <w:rPr>
          <w:rFonts w:ascii="Garamond" w:hAnsi="Garamond"/>
          <w:lang w:val="en-US"/>
        </w:rPr>
        <w:t xml:space="preserve"> (Eerdmans, 2014)</w:t>
      </w:r>
    </w:p>
    <w:p w14:paraId="7A8B93F5" w14:textId="4E186970" w:rsidR="001D6559" w:rsidRPr="001D6559" w:rsidRDefault="001D6559" w:rsidP="001D6559">
      <w:pPr>
        <w:rPr>
          <w:rFonts w:ascii="Garamond" w:hAnsi="Garamond"/>
          <w:lang w:val="en-US"/>
        </w:rPr>
      </w:pPr>
      <w:r>
        <w:rPr>
          <w:rFonts w:ascii="Garamond" w:hAnsi="Garamond"/>
          <w:lang w:val="en-US"/>
        </w:rPr>
        <w:t xml:space="preserve">Bavinck, Johan. </w:t>
      </w:r>
      <w:r>
        <w:rPr>
          <w:rFonts w:ascii="Garamond" w:hAnsi="Garamond"/>
          <w:i/>
          <w:lang w:val="en-US"/>
        </w:rPr>
        <w:t>The J.H. Bavinck Reader</w:t>
      </w:r>
      <w:r>
        <w:rPr>
          <w:rFonts w:ascii="Garamond" w:hAnsi="Garamond"/>
          <w:lang w:val="en-US"/>
        </w:rPr>
        <w:t xml:space="preserve"> (eds. Bolt, </w:t>
      </w:r>
      <w:proofErr w:type="spellStart"/>
      <w:r>
        <w:rPr>
          <w:rFonts w:ascii="Garamond" w:hAnsi="Garamond"/>
          <w:lang w:val="en-US"/>
        </w:rPr>
        <w:t>Bratt</w:t>
      </w:r>
      <w:proofErr w:type="spellEnd"/>
      <w:r>
        <w:rPr>
          <w:rFonts w:ascii="Garamond" w:hAnsi="Garamond"/>
          <w:lang w:val="en-US"/>
        </w:rPr>
        <w:t xml:space="preserve">, </w:t>
      </w:r>
      <w:proofErr w:type="spellStart"/>
      <w:r>
        <w:rPr>
          <w:rFonts w:ascii="Garamond" w:hAnsi="Garamond"/>
          <w:lang w:val="en-US"/>
        </w:rPr>
        <w:t>Visser</w:t>
      </w:r>
      <w:proofErr w:type="spellEnd"/>
      <w:r>
        <w:rPr>
          <w:rFonts w:ascii="Garamond" w:hAnsi="Garamond"/>
          <w:lang w:val="en-US"/>
        </w:rPr>
        <w:t>) (Eerdmans, 2013)</w:t>
      </w:r>
    </w:p>
    <w:p w14:paraId="3367954D" w14:textId="4690E554" w:rsidR="001D6559" w:rsidRDefault="001D6559" w:rsidP="001D6559">
      <w:pPr>
        <w:rPr>
          <w:rFonts w:ascii="Garamond" w:hAnsi="Garamond"/>
          <w:lang w:val="en-US"/>
        </w:rPr>
      </w:pPr>
      <w:proofErr w:type="spellStart"/>
      <w:r>
        <w:rPr>
          <w:rFonts w:ascii="Garamond" w:hAnsi="Garamond"/>
          <w:lang w:val="en-US"/>
        </w:rPr>
        <w:t>Berkouwer</w:t>
      </w:r>
      <w:proofErr w:type="spellEnd"/>
      <w:r>
        <w:rPr>
          <w:rFonts w:ascii="Garamond" w:hAnsi="Garamond"/>
          <w:lang w:val="en-US"/>
        </w:rPr>
        <w:t xml:space="preserve">, G.C. </w:t>
      </w:r>
      <w:r>
        <w:rPr>
          <w:rFonts w:ascii="Garamond" w:hAnsi="Garamond"/>
          <w:i/>
          <w:lang w:val="en-US"/>
        </w:rPr>
        <w:t>General Revelation</w:t>
      </w:r>
      <w:r>
        <w:rPr>
          <w:rFonts w:ascii="Garamond" w:hAnsi="Garamond"/>
          <w:lang w:val="en-US"/>
        </w:rPr>
        <w:t xml:space="preserve"> (Eerdmans, 1955)</w:t>
      </w:r>
    </w:p>
    <w:p w14:paraId="2D909C60" w14:textId="3FBAB416" w:rsidR="001D6559" w:rsidRDefault="001D6559" w:rsidP="001D6559">
      <w:pPr>
        <w:rPr>
          <w:rFonts w:ascii="Garamond" w:hAnsi="Garamond"/>
          <w:lang w:val="en-US"/>
        </w:rPr>
      </w:pPr>
      <w:r>
        <w:rPr>
          <w:rFonts w:ascii="Garamond" w:hAnsi="Garamond"/>
          <w:lang w:val="en-US"/>
        </w:rPr>
        <w:t xml:space="preserve">Bonaventure, </w:t>
      </w:r>
      <w:proofErr w:type="spellStart"/>
      <w:r>
        <w:rPr>
          <w:rFonts w:ascii="Garamond" w:hAnsi="Garamond"/>
          <w:i/>
          <w:lang w:val="en-US"/>
        </w:rPr>
        <w:t>Breviloquium</w:t>
      </w:r>
      <w:proofErr w:type="spellEnd"/>
      <w:r>
        <w:rPr>
          <w:rFonts w:ascii="Garamond" w:hAnsi="Garamond"/>
          <w:i/>
          <w:lang w:val="en-US"/>
        </w:rPr>
        <w:t xml:space="preserve"> </w:t>
      </w:r>
      <w:r>
        <w:rPr>
          <w:rFonts w:ascii="Garamond" w:hAnsi="Garamond"/>
          <w:lang w:val="en-US"/>
        </w:rPr>
        <w:t>(Franciscan Institute, 2005)</w:t>
      </w:r>
    </w:p>
    <w:p w14:paraId="789B9165" w14:textId="513789B9" w:rsidR="001D6559" w:rsidRPr="001D6559" w:rsidRDefault="001D6559" w:rsidP="001D6559">
      <w:pPr>
        <w:rPr>
          <w:rFonts w:ascii="Garamond" w:hAnsi="Garamond"/>
          <w:lang w:val="en-US"/>
        </w:rPr>
      </w:pPr>
      <w:proofErr w:type="spellStart"/>
      <w:r>
        <w:rPr>
          <w:rFonts w:ascii="Garamond" w:hAnsi="Garamond"/>
          <w:lang w:val="en-US"/>
        </w:rPr>
        <w:t>Budziszewski</w:t>
      </w:r>
      <w:proofErr w:type="spellEnd"/>
      <w:r>
        <w:rPr>
          <w:rFonts w:ascii="Garamond" w:hAnsi="Garamond"/>
          <w:lang w:val="en-US"/>
        </w:rPr>
        <w:t xml:space="preserve">, </w:t>
      </w:r>
      <w:r>
        <w:rPr>
          <w:rFonts w:ascii="Garamond" w:hAnsi="Garamond"/>
          <w:i/>
          <w:lang w:val="en-US"/>
        </w:rPr>
        <w:t xml:space="preserve">On the Meaning of Sex </w:t>
      </w:r>
      <w:r>
        <w:rPr>
          <w:rFonts w:ascii="Garamond" w:hAnsi="Garamond"/>
          <w:lang w:val="en-US"/>
        </w:rPr>
        <w:t>(Intercollegiate Studies, 2014)</w:t>
      </w:r>
    </w:p>
    <w:p w14:paraId="0ADF7094" w14:textId="41CEF023" w:rsidR="001D6559" w:rsidRDefault="001D6559" w:rsidP="001D6559">
      <w:pPr>
        <w:rPr>
          <w:rFonts w:ascii="Garamond" w:hAnsi="Garamond"/>
          <w:lang w:val="en-US"/>
        </w:rPr>
      </w:pPr>
      <w:r>
        <w:rPr>
          <w:rFonts w:ascii="Garamond" w:hAnsi="Garamond"/>
          <w:lang w:val="en-US"/>
        </w:rPr>
        <w:t xml:space="preserve">Crisp, Oliver, and Fred Sanders (eds.), </w:t>
      </w:r>
      <w:r>
        <w:rPr>
          <w:rFonts w:ascii="Garamond" w:hAnsi="Garamond"/>
          <w:i/>
          <w:lang w:val="en-US"/>
        </w:rPr>
        <w:t xml:space="preserve">Divine Action and Providence </w:t>
      </w:r>
      <w:r>
        <w:rPr>
          <w:rFonts w:ascii="Garamond" w:hAnsi="Garamond"/>
          <w:lang w:val="en-US"/>
        </w:rPr>
        <w:t>(Zondervan, 2019)</w:t>
      </w:r>
    </w:p>
    <w:p w14:paraId="3ADF57D7" w14:textId="4BEB45EC" w:rsidR="001D6559" w:rsidRDefault="001D6559" w:rsidP="001D6559">
      <w:pPr>
        <w:rPr>
          <w:rFonts w:ascii="Garamond" w:hAnsi="Garamond"/>
          <w:lang w:val="en-US"/>
        </w:rPr>
      </w:pPr>
      <w:proofErr w:type="spellStart"/>
      <w:r>
        <w:rPr>
          <w:rFonts w:ascii="Garamond" w:hAnsi="Garamond"/>
          <w:lang w:val="en-US"/>
        </w:rPr>
        <w:t>Duby</w:t>
      </w:r>
      <w:proofErr w:type="spellEnd"/>
      <w:r>
        <w:rPr>
          <w:rFonts w:ascii="Garamond" w:hAnsi="Garamond"/>
          <w:lang w:val="en-US"/>
        </w:rPr>
        <w:t xml:space="preserve">, Steven. </w:t>
      </w:r>
      <w:r>
        <w:rPr>
          <w:rFonts w:ascii="Garamond" w:hAnsi="Garamond"/>
          <w:i/>
          <w:lang w:val="en-US"/>
        </w:rPr>
        <w:t xml:space="preserve">Divine Simplicity </w:t>
      </w:r>
      <w:r>
        <w:rPr>
          <w:rFonts w:ascii="Garamond" w:hAnsi="Garamond"/>
          <w:lang w:val="en-US"/>
        </w:rPr>
        <w:t>(Bloomsbury T&amp;T Clark, 2016)</w:t>
      </w:r>
    </w:p>
    <w:p w14:paraId="1BE64E7F" w14:textId="39F1C99F" w:rsidR="001D6559" w:rsidRDefault="001D6559" w:rsidP="001D6559">
      <w:pPr>
        <w:rPr>
          <w:rFonts w:ascii="Garamond" w:hAnsi="Garamond"/>
          <w:lang w:val="en-US"/>
        </w:rPr>
      </w:pPr>
      <w:proofErr w:type="spellStart"/>
      <w:r>
        <w:rPr>
          <w:rFonts w:ascii="Garamond" w:hAnsi="Garamond"/>
          <w:lang w:val="en-US"/>
        </w:rPr>
        <w:t>Duby</w:t>
      </w:r>
      <w:proofErr w:type="spellEnd"/>
      <w:r>
        <w:rPr>
          <w:rFonts w:ascii="Garamond" w:hAnsi="Garamond"/>
          <w:lang w:val="en-US"/>
        </w:rPr>
        <w:t xml:space="preserve">, Steven. </w:t>
      </w:r>
      <w:r>
        <w:rPr>
          <w:rFonts w:ascii="Garamond" w:hAnsi="Garamond"/>
          <w:i/>
          <w:lang w:val="en-US"/>
        </w:rPr>
        <w:t xml:space="preserve">God in Himself </w:t>
      </w:r>
      <w:r>
        <w:rPr>
          <w:rFonts w:ascii="Garamond" w:hAnsi="Garamond"/>
          <w:lang w:val="en-US"/>
        </w:rPr>
        <w:t>(IVP, 2020)</w:t>
      </w:r>
    </w:p>
    <w:p w14:paraId="0BD0AEB5" w14:textId="2D92B2EA" w:rsidR="002C7FBD" w:rsidRPr="002C7FBD" w:rsidRDefault="002C7FBD" w:rsidP="001D6559">
      <w:pPr>
        <w:rPr>
          <w:rFonts w:ascii="Garamond" w:hAnsi="Garamond"/>
          <w:lang w:val="en-US"/>
        </w:rPr>
      </w:pPr>
      <w:r>
        <w:rPr>
          <w:rFonts w:ascii="Garamond" w:hAnsi="Garamond"/>
          <w:lang w:val="en-US"/>
        </w:rPr>
        <w:t>Emery, Giles.</w:t>
      </w:r>
      <w:r w:rsidR="00AB1E2C">
        <w:rPr>
          <w:rFonts w:ascii="Garamond" w:hAnsi="Garamond"/>
          <w:lang w:val="en-US"/>
        </w:rPr>
        <w:t xml:space="preserve"> </w:t>
      </w:r>
      <w:r>
        <w:rPr>
          <w:rFonts w:ascii="Garamond" w:hAnsi="Garamond"/>
          <w:i/>
          <w:lang w:val="en-US"/>
        </w:rPr>
        <w:t xml:space="preserve">Trinitarian Theology of Thomas Aquinas </w:t>
      </w:r>
      <w:r>
        <w:rPr>
          <w:rFonts w:ascii="Garamond" w:hAnsi="Garamond"/>
          <w:lang w:val="en-US"/>
        </w:rPr>
        <w:t>(Oxford, 2011)</w:t>
      </w:r>
    </w:p>
    <w:p w14:paraId="2D48DB10" w14:textId="3B1B2CB4" w:rsidR="001D6559" w:rsidRPr="001D6559" w:rsidRDefault="001D6559" w:rsidP="001D6559">
      <w:pPr>
        <w:rPr>
          <w:rFonts w:ascii="Garamond" w:hAnsi="Garamond"/>
          <w:lang w:val="en-US"/>
        </w:rPr>
      </w:pPr>
      <w:proofErr w:type="spellStart"/>
      <w:r>
        <w:rPr>
          <w:rFonts w:ascii="Garamond" w:hAnsi="Garamond"/>
          <w:lang w:val="en-US"/>
        </w:rPr>
        <w:t>Eglinton</w:t>
      </w:r>
      <w:proofErr w:type="spellEnd"/>
      <w:r>
        <w:rPr>
          <w:rFonts w:ascii="Garamond" w:hAnsi="Garamond"/>
          <w:lang w:val="en-US"/>
        </w:rPr>
        <w:t xml:space="preserve">, James, </w:t>
      </w:r>
      <w:r>
        <w:rPr>
          <w:rFonts w:ascii="Garamond" w:hAnsi="Garamond"/>
          <w:i/>
          <w:lang w:val="en-US"/>
        </w:rPr>
        <w:t xml:space="preserve">Trinity and Organism </w:t>
      </w:r>
      <w:r>
        <w:rPr>
          <w:rFonts w:ascii="Garamond" w:hAnsi="Garamond"/>
          <w:lang w:val="en-US"/>
        </w:rPr>
        <w:t>(Bloomsbury T&amp;T Clark, 2012)</w:t>
      </w:r>
    </w:p>
    <w:p w14:paraId="1F565D9A" w14:textId="2D59BD97" w:rsidR="001D6559" w:rsidRDefault="001D6559" w:rsidP="001D6559">
      <w:pPr>
        <w:rPr>
          <w:rFonts w:ascii="Garamond" w:hAnsi="Garamond"/>
          <w:lang w:val="en-US"/>
        </w:rPr>
      </w:pPr>
      <w:proofErr w:type="spellStart"/>
      <w:r>
        <w:rPr>
          <w:rFonts w:ascii="Garamond" w:hAnsi="Garamond"/>
          <w:lang w:val="en-US"/>
        </w:rPr>
        <w:t>Gaffin</w:t>
      </w:r>
      <w:proofErr w:type="spellEnd"/>
      <w:r>
        <w:rPr>
          <w:rFonts w:ascii="Garamond" w:hAnsi="Garamond"/>
          <w:lang w:val="en-US"/>
        </w:rPr>
        <w:t xml:space="preserve">, Richard. </w:t>
      </w:r>
      <w:r>
        <w:rPr>
          <w:rFonts w:ascii="Garamond" w:hAnsi="Garamond"/>
          <w:i/>
          <w:lang w:val="en-US"/>
        </w:rPr>
        <w:t xml:space="preserve">God’s Word in Servant Form </w:t>
      </w:r>
      <w:r>
        <w:rPr>
          <w:rFonts w:ascii="Garamond" w:hAnsi="Garamond"/>
          <w:lang w:val="en-US"/>
        </w:rPr>
        <w:t>(Reformed Academic, 2008)</w:t>
      </w:r>
    </w:p>
    <w:p w14:paraId="66CB1B86" w14:textId="601286EC" w:rsidR="001D6559" w:rsidRPr="001D6559" w:rsidRDefault="001D6559" w:rsidP="001D6559">
      <w:pPr>
        <w:rPr>
          <w:rFonts w:ascii="Garamond" w:hAnsi="Garamond"/>
          <w:lang w:val="en-US"/>
        </w:rPr>
      </w:pPr>
      <w:r>
        <w:rPr>
          <w:rFonts w:ascii="Garamond" w:hAnsi="Garamond"/>
          <w:lang w:val="en-US"/>
        </w:rPr>
        <w:t xml:space="preserve">Kruger, Michael, </w:t>
      </w:r>
      <w:r>
        <w:rPr>
          <w:rFonts w:ascii="Garamond" w:hAnsi="Garamond"/>
          <w:i/>
          <w:lang w:val="en-US"/>
        </w:rPr>
        <w:t xml:space="preserve">Canon Revisited </w:t>
      </w:r>
      <w:r>
        <w:rPr>
          <w:rFonts w:ascii="Garamond" w:hAnsi="Garamond"/>
          <w:lang w:val="en-US"/>
        </w:rPr>
        <w:t>(Crossway, 2012)</w:t>
      </w:r>
    </w:p>
    <w:p w14:paraId="2EADD0BA" w14:textId="0F7B1FD6" w:rsidR="001D6559" w:rsidRPr="001D6559" w:rsidRDefault="001D6559" w:rsidP="001D6559">
      <w:pPr>
        <w:rPr>
          <w:rFonts w:ascii="Garamond" w:hAnsi="Garamond"/>
          <w:lang w:val="en-US"/>
        </w:rPr>
      </w:pPr>
      <w:r>
        <w:rPr>
          <w:rFonts w:ascii="Garamond" w:hAnsi="Garamond"/>
          <w:lang w:val="en-US"/>
        </w:rPr>
        <w:t>Mattson, Brian</w:t>
      </w:r>
      <w:r w:rsidR="00D725B1">
        <w:rPr>
          <w:rFonts w:ascii="Garamond" w:hAnsi="Garamond"/>
          <w:lang w:val="en-US"/>
        </w:rPr>
        <w:t>,</w:t>
      </w:r>
      <w:r>
        <w:rPr>
          <w:rFonts w:ascii="Garamond" w:hAnsi="Garamond"/>
          <w:lang w:val="en-US"/>
        </w:rPr>
        <w:t xml:space="preserve"> </w:t>
      </w:r>
      <w:r>
        <w:rPr>
          <w:rFonts w:ascii="Garamond" w:hAnsi="Garamond"/>
          <w:i/>
          <w:lang w:val="en-US"/>
        </w:rPr>
        <w:t xml:space="preserve">Restored to Our Destiny </w:t>
      </w:r>
      <w:r>
        <w:rPr>
          <w:rFonts w:ascii="Garamond" w:hAnsi="Garamond"/>
          <w:lang w:val="en-US"/>
        </w:rPr>
        <w:t>(Brill, 2011)</w:t>
      </w:r>
    </w:p>
    <w:p w14:paraId="72AB9DC8" w14:textId="6DA47D45" w:rsidR="001D6559" w:rsidRDefault="001D6559" w:rsidP="001D6559">
      <w:pPr>
        <w:rPr>
          <w:rFonts w:ascii="Garamond" w:hAnsi="Garamond"/>
          <w:lang w:val="en-US"/>
        </w:rPr>
      </w:pPr>
      <w:r>
        <w:rPr>
          <w:rFonts w:ascii="Garamond" w:hAnsi="Garamond"/>
          <w:lang w:val="en-US"/>
        </w:rPr>
        <w:t>McFarland, Ian</w:t>
      </w:r>
      <w:r w:rsidR="00D725B1">
        <w:rPr>
          <w:rFonts w:ascii="Garamond" w:hAnsi="Garamond"/>
          <w:lang w:val="en-US"/>
        </w:rPr>
        <w:t>,</w:t>
      </w:r>
      <w:r>
        <w:rPr>
          <w:rFonts w:ascii="Garamond" w:hAnsi="Garamond"/>
          <w:lang w:val="en-US"/>
        </w:rPr>
        <w:t xml:space="preserve"> </w:t>
      </w:r>
      <w:r>
        <w:rPr>
          <w:rFonts w:ascii="Garamond" w:hAnsi="Garamond"/>
          <w:i/>
          <w:lang w:val="en-US"/>
        </w:rPr>
        <w:t xml:space="preserve">From Nothing </w:t>
      </w:r>
      <w:r>
        <w:rPr>
          <w:rFonts w:ascii="Garamond" w:hAnsi="Garamond"/>
          <w:lang w:val="en-US"/>
        </w:rPr>
        <w:t>(Westminster John Knox, 2014)</w:t>
      </w:r>
    </w:p>
    <w:p w14:paraId="45F0CF05" w14:textId="3B5EC4D8" w:rsidR="00D725B1" w:rsidRPr="00D725B1" w:rsidRDefault="00D725B1" w:rsidP="001D6559">
      <w:pPr>
        <w:rPr>
          <w:rFonts w:ascii="Garamond" w:hAnsi="Garamond"/>
          <w:lang w:val="en-US"/>
        </w:rPr>
      </w:pPr>
      <w:r>
        <w:rPr>
          <w:rFonts w:ascii="Garamond" w:hAnsi="Garamond"/>
          <w:lang w:val="en-US"/>
        </w:rPr>
        <w:t xml:space="preserve">Muller, Richard, </w:t>
      </w:r>
      <w:r>
        <w:rPr>
          <w:rFonts w:ascii="Garamond" w:hAnsi="Garamond"/>
          <w:i/>
          <w:lang w:val="en-US"/>
        </w:rPr>
        <w:t xml:space="preserve">Post-Reformation Reformed </w:t>
      </w:r>
      <w:proofErr w:type="spellStart"/>
      <w:r>
        <w:rPr>
          <w:rFonts w:ascii="Garamond" w:hAnsi="Garamond"/>
          <w:i/>
          <w:lang w:val="en-US"/>
        </w:rPr>
        <w:t>Dogmatics</w:t>
      </w:r>
      <w:proofErr w:type="spellEnd"/>
      <w:r>
        <w:rPr>
          <w:rFonts w:ascii="Garamond" w:hAnsi="Garamond"/>
          <w:i/>
          <w:lang w:val="en-US"/>
        </w:rPr>
        <w:t xml:space="preserve"> </w:t>
      </w:r>
      <w:r>
        <w:rPr>
          <w:rFonts w:ascii="Garamond" w:hAnsi="Garamond"/>
          <w:lang w:val="en-US"/>
        </w:rPr>
        <w:t>(Baker, 2003)</w:t>
      </w:r>
    </w:p>
    <w:p w14:paraId="4C249296" w14:textId="1C563185" w:rsidR="001D6559" w:rsidRPr="001D6559" w:rsidRDefault="001D6559" w:rsidP="001D6559">
      <w:pPr>
        <w:rPr>
          <w:rFonts w:ascii="Garamond" w:hAnsi="Garamond"/>
          <w:lang w:val="en-US"/>
        </w:rPr>
      </w:pPr>
      <w:r>
        <w:rPr>
          <w:rFonts w:ascii="Garamond" w:hAnsi="Garamond"/>
          <w:lang w:val="en-US"/>
        </w:rPr>
        <w:t xml:space="preserve">Sanders, Fred, and Scott Swain (eds.) </w:t>
      </w:r>
      <w:r>
        <w:rPr>
          <w:rFonts w:ascii="Garamond" w:hAnsi="Garamond"/>
          <w:i/>
          <w:lang w:val="en-US"/>
        </w:rPr>
        <w:t xml:space="preserve">Retrieving Eternal Generation </w:t>
      </w:r>
      <w:r>
        <w:rPr>
          <w:rFonts w:ascii="Garamond" w:hAnsi="Garamond"/>
          <w:lang w:val="en-US"/>
        </w:rPr>
        <w:t>(Zondervan, 2017)</w:t>
      </w:r>
    </w:p>
    <w:p w14:paraId="32D481C0" w14:textId="037E62AD" w:rsidR="001D6559" w:rsidRPr="001D6559" w:rsidRDefault="001D6559" w:rsidP="001D6559">
      <w:pPr>
        <w:rPr>
          <w:rFonts w:ascii="Garamond" w:hAnsi="Garamond"/>
          <w:lang w:val="en-US"/>
        </w:rPr>
      </w:pPr>
      <w:r>
        <w:rPr>
          <w:rFonts w:ascii="Garamond" w:hAnsi="Garamond"/>
          <w:lang w:val="en-US"/>
        </w:rPr>
        <w:t xml:space="preserve">Schumacher, Lydia. </w:t>
      </w:r>
      <w:r>
        <w:rPr>
          <w:rFonts w:ascii="Garamond" w:hAnsi="Garamond"/>
          <w:i/>
          <w:lang w:val="en-US"/>
        </w:rPr>
        <w:t>Divine Illumination</w:t>
      </w:r>
      <w:r>
        <w:rPr>
          <w:rFonts w:ascii="Garamond" w:hAnsi="Garamond"/>
          <w:lang w:val="en-US"/>
        </w:rPr>
        <w:t xml:space="preserve"> (Blackwell, 2011).</w:t>
      </w:r>
    </w:p>
    <w:p w14:paraId="3A4F857F" w14:textId="4FF2B6C0" w:rsidR="001D6559" w:rsidRPr="001D6559" w:rsidRDefault="001D6559" w:rsidP="001D6559">
      <w:pPr>
        <w:rPr>
          <w:rFonts w:ascii="Garamond" w:hAnsi="Garamond"/>
          <w:lang w:val="en-US"/>
        </w:rPr>
      </w:pPr>
      <w:r>
        <w:rPr>
          <w:rFonts w:ascii="Garamond" w:hAnsi="Garamond"/>
          <w:lang w:val="en-US"/>
        </w:rPr>
        <w:t xml:space="preserve">Stonehouse, Ned and Paul Wooley (eds.), </w:t>
      </w:r>
      <w:r>
        <w:rPr>
          <w:rFonts w:ascii="Garamond" w:hAnsi="Garamond"/>
          <w:i/>
          <w:lang w:val="en-US"/>
        </w:rPr>
        <w:t xml:space="preserve">The Infallible Word </w:t>
      </w:r>
      <w:r>
        <w:rPr>
          <w:rFonts w:ascii="Garamond" w:hAnsi="Garamond"/>
          <w:lang w:val="en-US"/>
        </w:rPr>
        <w:t>(P&amp;R, 1946)</w:t>
      </w:r>
    </w:p>
    <w:p w14:paraId="014EB653" w14:textId="3DD41E88" w:rsidR="001D6559" w:rsidRDefault="001D6559" w:rsidP="001D6559">
      <w:pPr>
        <w:rPr>
          <w:rFonts w:ascii="Garamond" w:hAnsi="Garamond"/>
          <w:lang w:val="en-US"/>
        </w:rPr>
      </w:pPr>
      <w:proofErr w:type="spellStart"/>
      <w:r>
        <w:rPr>
          <w:rFonts w:ascii="Garamond" w:hAnsi="Garamond"/>
          <w:lang w:val="en-US"/>
        </w:rPr>
        <w:lastRenderedPageBreak/>
        <w:t>Sutanto</w:t>
      </w:r>
      <w:proofErr w:type="spellEnd"/>
      <w:r>
        <w:rPr>
          <w:rFonts w:ascii="Garamond" w:hAnsi="Garamond"/>
          <w:lang w:val="en-US"/>
        </w:rPr>
        <w:t xml:space="preserve">, N. Gray. </w:t>
      </w:r>
      <w:r>
        <w:rPr>
          <w:rFonts w:ascii="Garamond" w:hAnsi="Garamond"/>
          <w:i/>
          <w:lang w:val="en-US"/>
        </w:rPr>
        <w:t xml:space="preserve">God and Knowledge </w:t>
      </w:r>
      <w:r>
        <w:rPr>
          <w:rFonts w:ascii="Garamond" w:hAnsi="Garamond"/>
          <w:lang w:val="en-US"/>
        </w:rPr>
        <w:t xml:space="preserve">(Bloomsbury T&amp;T Clark, 2020). </w:t>
      </w:r>
    </w:p>
    <w:p w14:paraId="0DA415A3" w14:textId="3DAE134A" w:rsidR="001D6559" w:rsidRDefault="001D6559" w:rsidP="001D6559">
      <w:pPr>
        <w:rPr>
          <w:rFonts w:ascii="Garamond" w:hAnsi="Garamond"/>
          <w:lang w:val="en-US"/>
        </w:rPr>
      </w:pPr>
      <w:r>
        <w:rPr>
          <w:rFonts w:ascii="Garamond" w:hAnsi="Garamond"/>
          <w:lang w:val="en-US"/>
        </w:rPr>
        <w:t xml:space="preserve">Swain, Scott. </w:t>
      </w:r>
      <w:r>
        <w:rPr>
          <w:rFonts w:ascii="Garamond" w:hAnsi="Garamond"/>
          <w:i/>
          <w:lang w:val="en-US"/>
        </w:rPr>
        <w:t xml:space="preserve">Trinity, Revelation and Reading </w:t>
      </w:r>
      <w:r>
        <w:rPr>
          <w:rFonts w:ascii="Garamond" w:hAnsi="Garamond"/>
          <w:lang w:val="en-US"/>
        </w:rPr>
        <w:t>(Bloomsbury T&amp;T Clark, 2011)</w:t>
      </w:r>
    </w:p>
    <w:p w14:paraId="5A26E090" w14:textId="581BE084" w:rsidR="001D6559" w:rsidRPr="001D6559" w:rsidRDefault="001D6559" w:rsidP="001D6559">
      <w:pPr>
        <w:rPr>
          <w:rFonts w:ascii="Garamond" w:hAnsi="Garamond"/>
          <w:lang w:val="en-US"/>
        </w:rPr>
      </w:pPr>
      <w:r>
        <w:rPr>
          <w:rFonts w:ascii="Garamond" w:hAnsi="Garamond"/>
          <w:lang w:val="en-US"/>
        </w:rPr>
        <w:t xml:space="preserve">Swain, Scott, </w:t>
      </w:r>
      <w:r>
        <w:rPr>
          <w:rFonts w:ascii="Garamond" w:hAnsi="Garamond"/>
          <w:i/>
          <w:lang w:val="en-US"/>
        </w:rPr>
        <w:t xml:space="preserve">The Trinity </w:t>
      </w:r>
      <w:r>
        <w:rPr>
          <w:rFonts w:ascii="Garamond" w:hAnsi="Garamond"/>
          <w:lang w:val="en-US"/>
        </w:rPr>
        <w:t>(Crossway, 2020)</w:t>
      </w:r>
    </w:p>
    <w:p w14:paraId="53A14F58" w14:textId="7BBBD42B" w:rsidR="001D6559" w:rsidRPr="001D6559" w:rsidRDefault="001D6559" w:rsidP="001D6559">
      <w:pPr>
        <w:rPr>
          <w:rFonts w:ascii="Garamond" w:hAnsi="Garamond"/>
          <w:lang w:val="en-US"/>
        </w:rPr>
      </w:pPr>
      <w:r>
        <w:rPr>
          <w:rFonts w:ascii="Garamond" w:hAnsi="Garamond"/>
          <w:lang w:val="en-US"/>
        </w:rPr>
        <w:t xml:space="preserve">Van Asselt, Willem, Theo </w:t>
      </w:r>
      <w:proofErr w:type="spellStart"/>
      <w:r>
        <w:rPr>
          <w:rFonts w:ascii="Garamond" w:hAnsi="Garamond"/>
          <w:lang w:val="en-US"/>
        </w:rPr>
        <w:t>Pleizier</w:t>
      </w:r>
      <w:proofErr w:type="spellEnd"/>
      <w:r>
        <w:rPr>
          <w:rFonts w:ascii="Garamond" w:hAnsi="Garamond"/>
          <w:lang w:val="en-US"/>
        </w:rPr>
        <w:t xml:space="preserve">, and Pieter </w:t>
      </w:r>
      <w:proofErr w:type="spellStart"/>
      <w:r>
        <w:rPr>
          <w:rFonts w:ascii="Garamond" w:hAnsi="Garamond"/>
          <w:lang w:val="en-US"/>
        </w:rPr>
        <w:t>Rouwendal</w:t>
      </w:r>
      <w:proofErr w:type="spellEnd"/>
      <w:r>
        <w:rPr>
          <w:rFonts w:ascii="Garamond" w:hAnsi="Garamond"/>
          <w:lang w:val="en-US"/>
        </w:rPr>
        <w:t xml:space="preserve">, </w:t>
      </w:r>
      <w:r>
        <w:rPr>
          <w:rFonts w:ascii="Garamond" w:hAnsi="Garamond"/>
          <w:i/>
          <w:lang w:val="en-US"/>
        </w:rPr>
        <w:t xml:space="preserve">Introduction to Reformed Scholasticism </w:t>
      </w:r>
      <w:r>
        <w:rPr>
          <w:rFonts w:ascii="Garamond" w:hAnsi="Garamond"/>
          <w:lang w:val="en-US"/>
        </w:rPr>
        <w:t>(Reformation Heritage, 2011)</w:t>
      </w:r>
    </w:p>
    <w:p w14:paraId="0EEB81E6" w14:textId="6FC77FC9" w:rsidR="001D6559" w:rsidRDefault="001D6559" w:rsidP="001D6559">
      <w:pPr>
        <w:rPr>
          <w:rFonts w:ascii="Garamond" w:hAnsi="Garamond"/>
          <w:lang w:val="en-US"/>
        </w:rPr>
      </w:pPr>
      <w:proofErr w:type="spellStart"/>
      <w:r>
        <w:rPr>
          <w:rFonts w:ascii="Garamond" w:hAnsi="Garamond"/>
          <w:lang w:val="en-US"/>
        </w:rPr>
        <w:t>Vanhoozer</w:t>
      </w:r>
      <w:proofErr w:type="spellEnd"/>
      <w:r>
        <w:rPr>
          <w:rFonts w:ascii="Garamond" w:hAnsi="Garamond"/>
          <w:lang w:val="en-US"/>
        </w:rPr>
        <w:t xml:space="preserve">, Kevin. </w:t>
      </w:r>
      <w:r>
        <w:rPr>
          <w:rFonts w:ascii="Garamond" w:hAnsi="Garamond"/>
          <w:i/>
          <w:lang w:val="en-US"/>
        </w:rPr>
        <w:t xml:space="preserve">Remythologizing Theology </w:t>
      </w:r>
      <w:r>
        <w:rPr>
          <w:rFonts w:ascii="Garamond" w:hAnsi="Garamond"/>
          <w:lang w:val="en-US"/>
        </w:rPr>
        <w:t>(Cambridge, 2012)</w:t>
      </w:r>
    </w:p>
    <w:p w14:paraId="2522B868" w14:textId="40093F74" w:rsidR="001D6559" w:rsidRPr="001D6559" w:rsidRDefault="001D6559" w:rsidP="001D6559">
      <w:pPr>
        <w:rPr>
          <w:rFonts w:ascii="Garamond" w:hAnsi="Garamond"/>
          <w:lang w:val="en-US"/>
        </w:rPr>
      </w:pPr>
      <w:r>
        <w:rPr>
          <w:rFonts w:ascii="Garamond" w:hAnsi="Garamond"/>
          <w:lang w:val="en-US"/>
        </w:rPr>
        <w:t xml:space="preserve">Van </w:t>
      </w:r>
      <w:proofErr w:type="spellStart"/>
      <w:r>
        <w:rPr>
          <w:rFonts w:ascii="Garamond" w:hAnsi="Garamond"/>
          <w:lang w:val="en-US"/>
        </w:rPr>
        <w:t>Til</w:t>
      </w:r>
      <w:proofErr w:type="spellEnd"/>
      <w:r>
        <w:rPr>
          <w:rFonts w:ascii="Garamond" w:hAnsi="Garamond"/>
          <w:lang w:val="en-US"/>
        </w:rPr>
        <w:t xml:space="preserve">, Cornelius. </w:t>
      </w:r>
      <w:r>
        <w:rPr>
          <w:rFonts w:ascii="Garamond" w:hAnsi="Garamond"/>
          <w:i/>
          <w:lang w:val="en-US"/>
        </w:rPr>
        <w:t xml:space="preserve">Introduction to Systematic Theology </w:t>
      </w:r>
      <w:r>
        <w:rPr>
          <w:rFonts w:ascii="Garamond" w:hAnsi="Garamond"/>
          <w:lang w:val="en-US"/>
        </w:rPr>
        <w:t>(P&amp;R, 2007)</w:t>
      </w:r>
    </w:p>
    <w:p w14:paraId="48D33D5A" w14:textId="3F3D45A0" w:rsidR="001D6559" w:rsidRPr="001D6559" w:rsidRDefault="001D6559" w:rsidP="001D6559">
      <w:pPr>
        <w:rPr>
          <w:rFonts w:ascii="Garamond" w:hAnsi="Garamond"/>
          <w:lang w:val="en-US"/>
        </w:rPr>
      </w:pPr>
      <w:r>
        <w:rPr>
          <w:rFonts w:ascii="Garamond" w:hAnsi="Garamond"/>
          <w:lang w:val="en-US"/>
        </w:rPr>
        <w:t xml:space="preserve">Warfield, B.B. </w:t>
      </w:r>
      <w:r>
        <w:rPr>
          <w:rFonts w:ascii="Garamond" w:hAnsi="Garamond"/>
          <w:i/>
          <w:lang w:val="en-US"/>
        </w:rPr>
        <w:t>Inspiration and Authority of the Bible</w:t>
      </w:r>
      <w:r>
        <w:rPr>
          <w:rFonts w:ascii="Garamond" w:hAnsi="Garamond"/>
          <w:lang w:val="en-US"/>
        </w:rPr>
        <w:t xml:space="preserve"> (P&amp;R, 1948)</w:t>
      </w:r>
      <w:r>
        <w:rPr>
          <w:rFonts w:ascii="Garamond" w:hAnsi="Garamond"/>
          <w:lang w:val="en-US"/>
        </w:rPr>
        <w:br/>
        <w:t xml:space="preserve">Watkin, Christopher. </w:t>
      </w:r>
      <w:r>
        <w:rPr>
          <w:rFonts w:ascii="Garamond" w:hAnsi="Garamond"/>
          <w:i/>
          <w:lang w:val="en-US"/>
        </w:rPr>
        <w:t xml:space="preserve">Thinking Through Creation </w:t>
      </w:r>
      <w:r>
        <w:rPr>
          <w:rFonts w:ascii="Garamond" w:hAnsi="Garamond"/>
          <w:lang w:val="en-US"/>
        </w:rPr>
        <w:t>(P&amp;R, 2017)</w:t>
      </w:r>
    </w:p>
    <w:p w14:paraId="132171B2" w14:textId="5945E29E" w:rsidR="001D6559" w:rsidRPr="001D6559" w:rsidRDefault="001D6559" w:rsidP="001D6559">
      <w:pPr>
        <w:rPr>
          <w:rFonts w:ascii="Garamond" w:hAnsi="Garamond"/>
          <w:lang w:val="en-US"/>
        </w:rPr>
      </w:pPr>
      <w:r>
        <w:rPr>
          <w:rFonts w:ascii="Garamond" w:hAnsi="Garamond"/>
          <w:lang w:val="en-US"/>
        </w:rPr>
        <w:t xml:space="preserve">Webster, John. </w:t>
      </w:r>
      <w:r>
        <w:rPr>
          <w:rFonts w:ascii="Garamond" w:hAnsi="Garamond"/>
          <w:i/>
          <w:lang w:val="en-US"/>
        </w:rPr>
        <w:t>Domain of the Word</w:t>
      </w:r>
      <w:r>
        <w:rPr>
          <w:rFonts w:ascii="Garamond" w:hAnsi="Garamond"/>
          <w:lang w:val="en-US"/>
        </w:rPr>
        <w:t xml:space="preserve"> (Bloomsbury T&amp;T Clark, 2012)</w:t>
      </w:r>
    </w:p>
    <w:p w14:paraId="5D767CB9" w14:textId="37092EB0" w:rsidR="001D6559" w:rsidRDefault="001D6559" w:rsidP="001D6559">
      <w:pPr>
        <w:rPr>
          <w:rFonts w:ascii="Garamond" w:hAnsi="Garamond"/>
          <w:lang w:val="en-US"/>
        </w:rPr>
      </w:pPr>
      <w:r>
        <w:rPr>
          <w:rFonts w:ascii="Garamond" w:hAnsi="Garamond"/>
          <w:lang w:val="en-US"/>
        </w:rPr>
        <w:t xml:space="preserve">Webster, John. </w:t>
      </w:r>
      <w:r>
        <w:rPr>
          <w:rFonts w:ascii="Garamond" w:hAnsi="Garamond"/>
          <w:i/>
          <w:lang w:val="en-US"/>
        </w:rPr>
        <w:t>God Without Measure</w:t>
      </w:r>
      <w:r>
        <w:rPr>
          <w:rFonts w:ascii="Garamond" w:hAnsi="Garamond"/>
          <w:lang w:val="en-US"/>
        </w:rPr>
        <w:t>, vol. 1. (Bloomsbury T&amp;T Clark, 2016)</w:t>
      </w:r>
    </w:p>
    <w:p w14:paraId="7650DD1E" w14:textId="53ADE365" w:rsidR="001D6559" w:rsidRDefault="001D6559" w:rsidP="001D6559">
      <w:pPr>
        <w:rPr>
          <w:rFonts w:ascii="Garamond" w:hAnsi="Garamond"/>
          <w:lang w:val="en-US"/>
        </w:rPr>
      </w:pPr>
    </w:p>
    <w:p w14:paraId="0E29B9EB" w14:textId="77777777" w:rsidR="00DC16B3" w:rsidRPr="004076D5" w:rsidRDefault="00DC16B3" w:rsidP="00DC16B3">
      <w:pPr>
        <w:spacing w:before="375" w:after="100" w:afterAutospacing="1"/>
        <w:outlineLvl w:val="2"/>
        <w:rPr>
          <w:rFonts w:ascii="Garamond" w:eastAsia="Times New Roman" w:hAnsi="Garamond" w:cs="Segoe UI"/>
          <w:b/>
          <w:bCs/>
          <w:color w:val="413B41"/>
          <w:spacing w:val="-5"/>
          <w:lang w:val="en-US"/>
        </w:rPr>
      </w:pPr>
      <w:r w:rsidRPr="004076D5">
        <w:rPr>
          <w:rFonts w:ascii="Garamond" w:eastAsia="Times New Roman" w:hAnsi="Garamond" w:cs="Segoe UI"/>
          <w:b/>
          <w:bCs/>
          <w:color w:val="413B41"/>
          <w:spacing w:val="-5"/>
          <w:lang w:val="en-US"/>
        </w:rPr>
        <w:t>Grading System</w:t>
      </w:r>
    </w:p>
    <w:tbl>
      <w:tblPr>
        <w:tblW w:w="0" w:type="auto"/>
        <w:tblBorders>
          <w:top w:val="single" w:sz="24" w:space="0" w:color="EEEEEE"/>
          <w:left w:val="single" w:sz="24" w:space="0" w:color="EEEEEE"/>
          <w:bottom w:val="single" w:sz="24" w:space="0" w:color="EEEEEE"/>
          <w:right w:val="single" w:sz="24" w:space="0" w:color="EEEEEE"/>
        </w:tblBorders>
        <w:tblCellMar>
          <w:left w:w="0" w:type="dxa"/>
          <w:right w:w="0" w:type="dxa"/>
        </w:tblCellMar>
        <w:tblLook w:val="04A0" w:firstRow="1" w:lastRow="0" w:firstColumn="1" w:lastColumn="0" w:noHBand="0" w:noVBand="1"/>
      </w:tblPr>
      <w:tblGrid>
        <w:gridCol w:w="648"/>
        <w:gridCol w:w="1623"/>
        <w:gridCol w:w="700"/>
      </w:tblGrid>
      <w:tr w:rsidR="00DC16B3" w:rsidRPr="004076D5" w14:paraId="47019DCA" w14:textId="77777777" w:rsidTr="00B822C7">
        <w:tc>
          <w:tcPr>
            <w:tcW w:w="0" w:type="auto"/>
            <w:tcBorders>
              <w:top w:val="nil"/>
              <w:left w:val="nil"/>
              <w:bottom w:val="nil"/>
              <w:right w:val="nil"/>
            </w:tcBorders>
            <w:tcMar>
              <w:top w:w="105" w:type="dxa"/>
              <w:left w:w="150" w:type="dxa"/>
              <w:bottom w:w="105" w:type="dxa"/>
              <w:right w:w="150" w:type="dxa"/>
            </w:tcMar>
            <w:hideMark/>
          </w:tcPr>
          <w:p w14:paraId="71CE35B9"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A</w:t>
            </w:r>
          </w:p>
        </w:tc>
        <w:tc>
          <w:tcPr>
            <w:tcW w:w="0" w:type="auto"/>
            <w:tcBorders>
              <w:top w:val="nil"/>
              <w:left w:val="nil"/>
              <w:bottom w:val="nil"/>
              <w:right w:val="nil"/>
            </w:tcBorders>
            <w:tcMar>
              <w:top w:w="105" w:type="dxa"/>
              <w:left w:w="150" w:type="dxa"/>
              <w:bottom w:w="105" w:type="dxa"/>
              <w:right w:w="150" w:type="dxa"/>
            </w:tcMar>
            <w:hideMark/>
          </w:tcPr>
          <w:p w14:paraId="0EEFF3BE"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(97-100)</w:t>
            </w:r>
          </w:p>
        </w:tc>
        <w:tc>
          <w:tcPr>
            <w:tcW w:w="0" w:type="auto"/>
            <w:tcBorders>
              <w:top w:val="nil"/>
              <w:left w:val="nil"/>
              <w:bottom w:val="nil"/>
              <w:right w:val="nil"/>
            </w:tcBorders>
            <w:tcMar>
              <w:top w:w="105" w:type="dxa"/>
              <w:left w:w="150" w:type="dxa"/>
              <w:bottom w:w="105" w:type="dxa"/>
              <w:right w:w="150" w:type="dxa"/>
            </w:tcMar>
            <w:hideMark/>
          </w:tcPr>
          <w:p w14:paraId="26668B7A"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4.00</w:t>
            </w:r>
          </w:p>
        </w:tc>
      </w:tr>
      <w:tr w:rsidR="00DC16B3" w:rsidRPr="004076D5" w14:paraId="27DA84A4" w14:textId="77777777" w:rsidTr="00B822C7">
        <w:tc>
          <w:tcPr>
            <w:tcW w:w="0" w:type="auto"/>
            <w:tcBorders>
              <w:top w:val="nil"/>
              <w:left w:val="nil"/>
              <w:bottom w:val="nil"/>
              <w:right w:val="nil"/>
            </w:tcBorders>
            <w:tcMar>
              <w:top w:w="105" w:type="dxa"/>
              <w:left w:w="150" w:type="dxa"/>
              <w:bottom w:w="105" w:type="dxa"/>
              <w:right w:w="150" w:type="dxa"/>
            </w:tcMar>
            <w:hideMark/>
          </w:tcPr>
          <w:p w14:paraId="240F1963"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A-</w:t>
            </w:r>
          </w:p>
        </w:tc>
        <w:tc>
          <w:tcPr>
            <w:tcW w:w="0" w:type="auto"/>
            <w:tcBorders>
              <w:top w:val="nil"/>
              <w:left w:val="nil"/>
              <w:bottom w:val="nil"/>
              <w:right w:val="nil"/>
            </w:tcBorders>
            <w:tcMar>
              <w:top w:w="105" w:type="dxa"/>
              <w:left w:w="150" w:type="dxa"/>
              <w:bottom w:w="105" w:type="dxa"/>
              <w:right w:w="150" w:type="dxa"/>
            </w:tcMar>
            <w:hideMark/>
          </w:tcPr>
          <w:p w14:paraId="724DBDFC"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(94-96)</w:t>
            </w:r>
          </w:p>
        </w:tc>
        <w:tc>
          <w:tcPr>
            <w:tcW w:w="0" w:type="auto"/>
            <w:tcBorders>
              <w:top w:val="nil"/>
              <w:left w:val="nil"/>
              <w:bottom w:val="nil"/>
              <w:right w:val="nil"/>
            </w:tcBorders>
            <w:tcMar>
              <w:top w:w="105" w:type="dxa"/>
              <w:left w:w="150" w:type="dxa"/>
              <w:bottom w:w="105" w:type="dxa"/>
              <w:right w:w="150" w:type="dxa"/>
            </w:tcMar>
            <w:hideMark/>
          </w:tcPr>
          <w:p w14:paraId="2B7E5047"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3.66</w:t>
            </w:r>
          </w:p>
        </w:tc>
      </w:tr>
      <w:tr w:rsidR="00DC16B3" w:rsidRPr="004076D5" w14:paraId="329929AD" w14:textId="77777777" w:rsidTr="00B822C7">
        <w:tc>
          <w:tcPr>
            <w:tcW w:w="0" w:type="auto"/>
            <w:tcBorders>
              <w:top w:val="nil"/>
              <w:left w:val="nil"/>
              <w:bottom w:val="nil"/>
              <w:right w:val="nil"/>
            </w:tcBorders>
            <w:tcMar>
              <w:top w:w="105" w:type="dxa"/>
              <w:left w:w="150" w:type="dxa"/>
              <w:bottom w:w="105" w:type="dxa"/>
              <w:right w:w="150" w:type="dxa"/>
            </w:tcMar>
            <w:hideMark/>
          </w:tcPr>
          <w:p w14:paraId="051F610C"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1FDAB831"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(91-93)</w:t>
            </w:r>
          </w:p>
        </w:tc>
        <w:tc>
          <w:tcPr>
            <w:tcW w:w="0" w:type="auto"/>
            <w:tcBorders>
              <w:top w:val="nil"/>
              <w:left w:val="nil"/>
              <w:bottom w:val="nil"/>
              <w:right w:val="nil"/>
            </w:tcBorders>
            <w:tcMar>
              <w:top w:w="105" w:type="dxa"/>
              <w:left w:w="150" w:type="dxa"/>
              <w:bottom w:w="105" w:type="dxa"/>
              <w:right w:w="150" w:type="dxa"/>
            </w:tcMar>
            <w:hideMark/>
          </w:tcPr>
          <w:p w14:paraId="24D8F76F"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3.33</w:t>
            </w:r>
          </w:p>
        </w:tc>
      </w:tr>
      <w:tr w:rsidR="00DC16B3" w:rsidRPr="004076D5" w14:paraId="55C4CF91" w14:textId="77777777" w:rsidTr="00B822C7">
        <w:tc>
          <w:tcPr>
            <w:tcW w:w="0" w:type="auto"/>
            <w:tcBorders>
              <w:top w:val="nil"/>
              <w:left w:val="nil"/>
              <w:bottom w:val="nil"/>
              <w:right w:val="nil"/>
            </w:tcBorders>
            <w:tcMar>
              <w:top w:w="105" w:type="dxa"/>
              <w:left w:w="150" w:type="dxa"/>
              <w:bottom w:w="105" w:type="dxa"/>
              <w:right w:w="150" w:type="dxa"/>
            </w:tcMar>
            <w:hideMark/>
          </w:tcPr>
          <w:p w14:paraId="38E0AF36"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1EAE6A89"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(88-90)</w:t>
            </w:r>
          </w:p>
        </w:tc>
        <w:tc>
          <w:tcPr>
            <w:tcW w:w="0" w:type="auto"/>
            <w:tcBorders>
              <w:top w:val="nil"/>
              <w:left w:val="nil"/>
              <w:bottom w:val="nil"/>
              <w:right w:val="nil"/>
            </w:tcBorders>
            <w:tcMar>
              <w:top w:w="105" w:type="dxa"/>
              <w:left w:w="150" w:type="dxa"/>
              <w:bottom w:w="105" w:type="dxa"/>
              <w:right w:w="150" w:type="dxa"/>
            </w:tcMar>
            <w:hideMark/>
          </w:tcPr>
          <w:p w14:paraId="2439BAED"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3.00</w:t>
            </w:r>
          </w:p>
        </w:tc>
      </w:tr>
      <w:tr w:rsidR="00DC16B3" w:rsidRPr="004076D5" w14:paraId="293D321A" w14:textId="77777777" w:rsidTr="00B822C7">
        <w:tc>
          <w:tcPr>
            <w:tcW w:w="0" w:type="auto"/>
            <w:tcBorders>
              <w:top w:val="nil"/>
              <w:left w:val="nil"/>
              <w:bottom w:val="nil"/>
              <w:right w:val="nil"/>
            </w:tcBorders>
            <w:tcMar>
              <w:top w:w="105" w:type="dxa"/>
              <w:left w:w="150" w:type="dxa"/>
              <w:bottom w:w="105" w:type="dxa"/>
              <w:right w:w="150" w:type="dxa"/>
            </w:tcMar>
            <w:hideMark/>
          </w:tcPr>
          <w:p w14:paraId="7A5BD3BA"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2FD66F8C"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(86-87)</w:t>
            </w:r>
          </w:p>
        </w:tc>
        <w:tc>
          <w:tcPr>
            <w:tcW w:w="0" w:type="auto"/>
            <w:tcBorders>
              <w:top w:val="nil"/>
              <w:left w:val="nil"/>
              <w:bottom w:val="nil"/>
              <w:right w:val="nil"/>
            </w:tcBorders>
            <w:tcMar>
              <w:top w:w="105" w:type="dxa"/>
              <w:left w:w="150" w:type="dxa"/>
              <w:bottom w:w="105" w:type="dxa"/>
              <w:right w:w="150" w:type="dxa"/>
            </w:tcMar>
            <w:hideMark/>
          </w:tcPr>
          <w:p w14:paraId="508213C4"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2.66</w:t>
            </w:r>
          </w:p>
        </w:tc>
      </w:tr>
      <w:tr w:rsidR="00DC16B3" w:rsidRPr="004076D5" w14:paraId="2F6AA49C" w14:textId="77777777" w:rsidTr="00B822C7">
        <w:tc>
          <w:tcPr>
            <w:tcW w:w="0" w:type="auto"/>
            <w:tcBorders>
              <w:top w:val="nil"/>
              <w:left w:val="nil"/>
              <w:bottom w:val="nil"/>
              <w:right w:val="nil"/>
            </w:tcBorders>
            <w:tcMar>
              <w:top w:w="105" w:type="dxa"/>
              <w:left w:w="150" w:type="dxa"/>
              <w:bottom w:w="105" w:type="dxa"/>
              <w:right w:w="150" w:type="dxa"/>
            </w:tcMar>
            <w:hideMark/>
          </w:tcPr>
          <w:p w14:paraId="2BB7D881"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46F98429"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(83-85)</w:t>
            </w:r>
          </w:p>
        </w:tc>
        <w:tc>
          <w:tcPr>
            <w:tcW w:w="0" w:type="auto"/>
            <w:tcBorders>
              <w:top w:val="nil"/>
              <w:left w:val="nil"/>
              <w:bottom w:val="nil"/>
              <w:right w:val="nil"/>
            </w:tcBorders>
            <w:tcMar>
              <w:top w:w="105" w:type="dxa"/>
              <w:left w:w="150" w:type="dxa"/>
              <w:bottom w:w="105" w:type="dxa"/>
              <w:right w:w="150" w:type="dxa"/>
            </w:tcMar>
            <w:hideMark/>
          </w:tcPr>
          <w:p w14:paraId="6D4FF4AE"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2.33</w:t>
            </w:r>
          </w:p>
        </w:tc>
      </w:tr>
      <w:tr w:rsidR="00DC16B3" w:rsidRPr="004076D5" w14:paraId="58CC889E" w14:textId="77777777" w:rsidTr="00B822C7">
        <w:tc>
          <w:tcPr>
            <w:tcW w:w="0" w:type="auto"/>
            <w:tcBorders>
              <w:top w:val="nil"/>
              <w:left w:val="nil"/>
              <w:bottom w:val="nil"/>
              <w:right w:val="nil"/>
            </w:tcBorders>
            <w:tcMar>
              <w:top w:w="105" w:type="dxa"/>
              <w:left w:w="150" w:type="dxa"/>
              <w:bottom w:w="105" w:type="dxa"/>
              <w:right w:w="150" w:type="dxa"/>
            </w:tcMar>
            <w:hideMark/>
          </w:tcPr>
          <w:p w14:paraId="2939AFA4"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2513FE8C"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(80-82)</w:t>
            </w:r>
          </w:p>
        </w:tc>
        <w:tc>
          <w:tcPr>
            <w:tcW w:w="0" w:type="auto"/>
            <w:tcBorders>
              <w:top w:val="nil"/>
              <w:left w:val="nil"/>
              <w:bottom w:val="nil"/>
              <w:right w:val="nil"/>
            </w:tcBorders>
            <w:tcMar>
              <w:top w:w="105" w:type="dxa"/>
              <w:left w:w="150" w:type="dxa"/>
              <w:bottom w:w="105" w:type="dxa"/>
              <w:right w:w="150" w:type="dxa"/>
            </w:tcMar>
            <w:hideMark/>
          </w:tcPr>
          <w:p w14:paraId="0B18FDC8"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2.00</w:t>
            </w:r>
          </w:p>
        </w:tc>
      </w:tr>
      <w:tr w:rsidR="00DC16B3" w:rsidRPr="004076D5" w14:paraId="01AE3ED6" w14:textId="77777777" w:rsidTr="00B822C7">
        <w:tc>
          <w:tcPr>
            <w:tcW w:w="0" w:type="auto"/>
            <w:tcBorders>
              <w:top w:val="nil"/>
              <w:left w:val="nil"/>
              <w:bottom w:val="nil"/>
              <w:right w:val="nil"/>
            </w:tcBorders>
            <w:tcMar>
              <w:top w:w="105" w:type="dxa"/>
              <w:left w:w="150" w:type="dxa"/>
              <w:bottom w:w="105" w:type="dxa"/>
              <w:right w:w="150" w:type="dxa"/>
            </w:tcMar>
            <w:hideMark/>
          </w:tcPr>
          <w:p w14:paraId="39A2009F"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16FEAAD5"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(78-79)</w:t>
            </w:r>
          </w:p>
        </w:tc>
        <w:tc>
          <w:tcPr>
            <w:tcW w:w="0" w:type="auto"/>
            <w:tcBorders>
              <w:top w:val="nil"/>
              <w:left w:val="nil"/>
              <w:bottom w:val="nil"/>
              <w:right w:val="nil"/>
            </w:tcBorders>
            <w:tcMar>
              <w:top w:w="105" w:type="dxa"/>
              <w:left w:w="150" w:type="dxa"/>
              <w:bottom w:w="105" w:type="dxa"/>
              <w:right w:w="150" w:type="dxa"/>
            </w:tcMar>
            <w:hideMark/>
          </w:tcPr>
          <w:p w14:paraId="42EC6367"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1.66</w:t>
            </w:r>
          </w:p>
        </w:tc>
      </w:tr>
      <w:tr w:rsidR="00DC16B3" w:rsidRPr="004076D5" w14:paraId="7A33CEDD" w14:textId="77777777" w:rsidTr="00B822C7">
        <w:tc>
          <w:tcPr>
            <w:tcW w:w="0" w:type="auto"/>
            <w:tcBorders>
              <w:top w:val="nil"/>
              <w:left w:val="nil"/>
              <w:bottom w:val="nil"/>
              <w:right w:val="nil"/>
            </w:tcBorders>
            <w:tcMar>
              <w:top w:w="105" w:type="dxa"/>
              <w:left w:w="150" w:type="dxa"/>
              <w:bottom w:w="105" w:type="dxa"/>
              <w:right w:w="150" w:type="dxa"/>
            </w:tcMar>
            <w:hideMark/>
          </w:tcPr>
          <w:p w14:paraId="14AD581C"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5919DEC6"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(75-77)</w:t>
            </w:r>
          </w:p>
        </w:tc>
        <w:tc>
          <w:tcPr>
            <w:tcW w:w="0" w:type="auto"/>
            <w:tcBorders>
              <w:top w:val="nil"/>
              <w:left w:val="nil"/>
              <w:bottom w:val="nil"/>
              <w:right w:val="nil"/>
            </w:tcBorders>
            <w:tcMar>
              <w:top w:w="105" w:type="dxa"/>
              <w:left w:w="150" w:type="dxa"/>
              <w:bottom w:w="105" w:type="dxa"/>
              <w:right w:w="150" w:type="dxa"/>
            </w:tcMar>
            <w:hideMark/>
          </w:tcPr>
          <w:p w14:paraId="5084300A"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1.33</w:t>
            </w:r>
          </w:p>
        </w:tc>
      </w:tr>
      <w:tr w:rsidR="00DC16B3" w:rsidRPr="004076D5" w14:paraId="3814DFD5" w14:textId="77777777" w:rsidTr="00B822C7">
        <w:tc>
          <w:tcPr>
            <w:tcW w:w="0" w:type="auto"/>
            <w:tcBorders>
              <w:top w:val="nil"/>
              <w:left w:val="nil"/>
              <w:bottom w:val="nil"/>
              <w:right w:val="nil"/>
            </w:tcBorders>
            <w:tcMar>
              <w:top w:w="105" w:type="dxa"/>
              <w:left w:w="150" w:type="dxa"/>
              <w:bottom w:w="105" w:type="dxa"/>
              <w:right w:w="150" w:type="dxa"/>
            </w:tcMar>
            <w:hideMark/>
          </w:tcPr>
          <w:p w14:paraId="3093EF52"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3650DA28"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(72-74)</w:t>
            </w:r>
          </w:p>
        </w:tc>
        <w:tc>
          <w:tcPr>
            <w:tcW w:w="0" w:type="auto"/>
            <w:tcBorders>
              <w:top w:val="nil"/>
              <w:left w:val="nil"/>
              <w:bottom w:val="nil"/>
              <w:right w:val="nil"/>
            </w:tcBorders>
            <w:tcMar>
              <w:top w:w="105" w:type="dxa"/>
              <w:left w:w="150" w:type="dxa"/>
              <w:bottom w:w="105" w:type="dxa"/>
              <w:right w:w="150" w:type="dxa"/>
            </w:tcMar>
            <w:hideMark/>
          </w:tcPr>
          <w:p w14:paraId="56CE014E"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1.00</w:t>
            </w:r>
          </w:p>
        </w:tc>
      </w:tr>
      <w:tr w:rsidR="00DC16B3" w:rsidRPr="004076D5" w14:paraId="7CF5B36C" w14:textId="77777777" w:rsidTr="00B822C7">
        <w:tc>
          <w:tcPr>
            <w:tcW w:w="0" w:type="auto"/>
            <w:tcBorders>
              <w:top w:val="nil"/>
              <w:left w:val="nil"/>
              <w:bottom w:val="nil"/>
              <w:right w:val="nil"/>
            </w:tcBorders>
            <w:tcMar>
              <w:top w:w="105" w:type="dxa"/>
              <w:left w:w="150" w:type="dxa"/>
              <w:bottom w:w="105" w:type="dxa"/>
              <w:right w:w="150" w:type="dxa"/>
            </w:tcMar>
            <w:hideMark/>
          </w:tcPr>
          <w:p w14:paraId="13DBC7B2"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7188BEEB"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(70-71)</w:t>
            </w:r>
          </w:p>
        </w:tc>
        <w:tc>
          <w:tcPr>
            <w:tcW w:w="0" w:type="auto"/>
            <w:tcBorders>
              <w:top w:val="nil"/>
              <w:left w:val="nil"/>
              <w:bottom w:val="nil"/>
              <w:right w:val="nil"/>
            </w:tcBorders>
            <w:tcMar>
              <w:top w:w="105" w:type="dxa"/>
              <w:left w:w="150" w:type="dxa"/>
              <w:bottom w:w="105" w:type="dxa"/>
              <w:right w:w="150" w:type="dxa"/>
            </w:tcMar>
            <w:hideMark/>
          </w:tcPr>
          <w:p w14:paraId="2611339C"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0.66</w:t>
            </w:r>
          </w:p>
        </w:tc>
      </w:tr>
      <w:tr w:rsidR="00DC16B3" w:rsidRPr="004076D5" w14:paraId="3E2489EE" w14:textId="77777777" w:rsidTr="00B822C7">
        <w:tc>
          <w:tcPr>
            <w:tcW w:w="0" w:type="auto"/>
            <w:tcBorders>
              <w:top w:val="nil"/>
              <w:left w:val="nil"/>
              <w:bottom w:val="nil"/>
              <w:right w:val="nil"/>
            </w:tcBorders>
            <w:tcMar>
              <w:top w:w="105" w:type="dxa"/>
              <w:left w:w="150" w:type="dxa"/>
              <w:bottom w:w="105" w:type="dxa"/>
              <w:right w:w="150" w:type="dxa"/>
            </w:tcMar>
            <w:hideMark/>
          </w:tcPr>
          <w:p w14:paraId="78F12892"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F</w:t>
            </w:r>
          </w:p>
        </w:tc>
        <w:tc>
          <w:tcPr>
            <w:tcW w:w="0" w:type="auto"/>
            <w:tcBorders>
              <w:top w:val="nil"/>
              <w:left w:val="nil"/>
              <w:bottom w:val="nil"/>
              <w:right w:val="nil"/>
            </w:tcBorders>
            <w:tcMar>
              <w:top w:w="105" w:type="dxa"/>
              <w:left w:w="150" w:type="dxa"/>
              <w:bottom w:w="105" w:type="dxa"/>
              <w:right w:w="150" w:type="dxa"/>
            </w:tcMar>
            <w:hideMark/>
          </w:tcPr>
          <w:p w14:paraId="56AE706F"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(below 70)</w:t>
            </w:r>
          </w:p>
        </w:tc>
        <w:tc>
          <w:tcPr>
            <w:tcW w:w="0" w:type="auto"/>
            <w:tcBorders>
              <w:top w:val="nil"/>
              <w:left w:val="nil"/>
              <w:bottom w:val="nil"/>
              <w:right w:val="nil"/>
            </w:tcBorders>
            <w:tcMar>
              <w:top w:w="105" w:type="dxa"/>
              <w:left w:w="150" w:type="dxa"/>
              <w:bottom w:w="105" w:type="dxa"/>
              <w:right w:w="150" w:type="dxa"/>
            </w:tcMar>
            <w:hideMark/>
          </w:tcPr>
          <w:p w14:paraId="7D1C34DA"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0.00</w:t>
            </w:r>
          </w:p>
        </w:tc>
      </w:tr>
      <w:tr w:rsidR="00DC16B3" w:rsidRPr="004076D5" w14:paraId="645AA170" w14:textId="77777777" w:rsidTr="00B822C7">
        <w:tc>
          <w:tcPr>
            <w:tcW w:w="0" w:type="auto"/>
            <w:tcBorders>
              <w:top w:val="nil"/>
              <w:left w:val="nil"/>
              <w:bottom w:val="nil"/>
              <w:right w:val="nil"/>
            </w:tcBorders>
            <w:tcMar>
              <w:top w:w="105" w:type="dxa"/>
              <w:left w:w="150" w:type="dxa"/>
              <w:bottom w:w="105" w:type="dxa"/>
              <w:right w:w="150" w:type="dxa"/>
            </w:tcMar>
            <w:hideMark/>
          </w:tcPr>
          <w:p w14:paraId="1ACC3752"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I</w:t>
            </w:r>
          </w:p>
        </w:tc>
        <w:tc>
          <w:tcPr>
            <w:tcW w:w="0" w:type="auto"/>
            <w:tcBorders>
              <w:top w:val="nil"/>
              <w:left w:val="nil"/>
              <w:bottom w:val="nil"/>
              <w:right w:val="nil"/>
            </w:tcBorders>
            <w:tcMar>
              <w:top w:w="105" w:type="dxa"/>
              <w:left w:w="150" w:type="dxa"/>
              <w:bottom w:w="105" w:type="dxa"/>
              <w:right w:w="150" w:type="dxa"/>
            </w:tcMar>
            <w:hideMark/>
          </w:tcPr>
          <w:p w14:paraId="2772FFAF"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(incomplete)</w:t>
            </w:r>
          </w:p>
        </w:tc>
        <w:tc>
          <w:tcPr>
            <w:tcW w:w="0" w:type="auto"/>
            <w:tcBorders>
              <w:top w:val="nil"/>
              <w:left w:val="nil"/>
              <w:bottom w:val="nil"/>
              <w:right w:val="nil"/>
            </w:tcBorders>
            <w:tcMar>
              <w:top w:w="105" w:type="dxa"/>
              <w:left w:w="150" w:type="dxa"/>
              <w:bottom w:w="105" w:type="dxa"/>
              <w:right w:w="150" w:type="dxa"/>
            </w:tcMar>
            <w:hideMark/>
          </w:tcPr>
          <w:p w14:paraId="01C7AD93"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r w:rsidR="00DC16B3" w:rsidRPr="004076D5" w14:paraId="728FD29C" w14:textId="77777777" w:rsidTr="00B822C7">
        <w:tc>
          <w:tcPr>
            <w:tcW w:w="0" w:type="auto"/>
            <w:tcBorders>
              <w:top w:val="nil"/>
              <w:left w:val="nil"/>
              <w:bottom w:val="nil"/>
              <w:right w:val="nil"/>
            </w:tcBorders>
            <w:tcMar>
              <w:top w:w="105" w:type="dxa"/>
              <w:left w:w="150" w:type="dxa"/>
              <w:bottom w:w="105" w:type="dxa"/>
              <w:right w:w="150" w:type="dxa"/>
            </w:tcMar>
            <w:hideMark/>
          </w:tcPr>
          <w:p w14:paraId="03F03902"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W</w:t>
            </w:r>
          </w:p>
        </w:tc>
        <w:tc>
          <w:tcPr>
            <w:tcW w:w="0" w:type="auto"/>
            <w:tcBorders>
              <w:top w:val="nil"/>
              <w:left w:val="nil"/>
              <w:bottom w:val="nil"/>
              <w:right w:val="nil"/>
            </w:tcBorders>
            <w:tcMar>
              <w:top w:w="105" w:type="dxa"/>
              <w:left w:w="150" w:type="dxa"/>
              <w:bottom w:w="105" w:type="dxa"/>
              <w:right w:w="150" w:type="dxa"/>
            </w:tcMar>
            <w:hideMark/>
          </w:tcPr>
          <w:p w14:paraId="31C7BAC0"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(withdraw)</w:t>
            </w:r>
          </w:p>
        </w:tc>
        <w:tc>
          <w:tcPr>
            <w:tcW w:w="0" w:type="auto"/>
            <w:tcBorders>
              <w:top w:val="nil"/>
              <w:left w:val="nil"/>
              <w:bottom w:val="nil"/>
              <w:right w:val="nil"/>
            </w:tcBorders>
            <w:tcMar>
              <w:top w:w="105" w:type="dxa"/>
              <w:left w:w="150" w:type="dxa"/>
              <w:bottom w:w="105" w:type="dxa"/>
              <w:right w:w="150" w:type="dxa"/>
            </w:tcMar>
            <w:hideMark/>
          </w:tcPr>
          <w:p w14:paraId="565413FE"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r w:rsidR="00DC16B3" w:rsidRPr="004076D5" w14:paraId="501E5989" w14:textId="77777777" w:rsidTr="00B822C7">
        <w:tc>
          <w:tcPr>
            <w:tcW w:w="0" w:type="auto"/>
            <w:tcBorders>
              <w:top w:val="nil"/>
              <w:left w:val="nil"/>
              <w:bottom w:val="nil"/>
              <w:right w:val="nil"/>
            </w:tcBorders>
            <w:tcMar>
              <w:top w:w="105" w:type="dxa"/>
              <w:left w:w="150" w:type="dxa"/>
              <w:bottom w:w="105" w:type="dxa"/>
              <w:right w:w="150" w:type="dxa"/>
            </w:tcMar>
            <w:hideMark/>
          </w:tcPr>
          <w:p w14:paraId="128F94A0"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S</w:t>
            </w:r>
          </w:p>
        </w:tc>
        <w:tc>
          <w:tcPr>
            <w:tcW w:w="0" w:type="auto"/>
            <w:tcBorders>
              <w:top w:val="nil"/>
              <w:left w:val="nil"/>
              <w:bottom w:val="nil"/>
              <w:right w:val="nil"/>
            </w:tcBorders>
            <w:tcMar>
              <w:top w:w="105" w:type="dxa"/>
              <w:left w:w="150" w:type="dxa"/>
              <w:bottom w:w="105" w:type="dxa"/>
              <w:right w:w="150" w:type="dxa"/>
            </w:tcMar>
            <w:hideMark/>
          </w:tcPr>
          <w:p w14:paraId="29456B9C"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(satisfactory)</w:t>
            </w:r>
          </w:p>
        </w:tc>
        <w:tc>
          <w:tcPr>
            <w:tcW w:w="0" w:type="auto"/>
            <w:tcBorders>
              <w:top w:val="nil"/>
              <w:left w:val="nil"/>
              <w:bottom w:val="nil"/>
              <w:right w:val="nil"/>
            </w:tcBorders>
            <w:tcMar>
              <w:top w:w="105" w:type="dxa"/>
              <w:left w:w="150" w:type="dxa"/>
              <w:bottom w:w="105" w:type="dxa"/>
              <w:right w:w="150" w:type="dxa"/>
            </w:tcMar>
            <w:hideMark/>
          </w:tcPr>
          <w:p w14:paraId="673DFCF6"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r w:rsidR="00DC16B3" w:rsidRPr="004076D5" w14:paraId="666E33ED" w14:textId="77777777" w:rsidTr="00B822C7">
        <w:tc>
          <w:tcPr>
            <w:tcW w:w="0" w:type="auto"/>
            <w:tcBorders>
              <w:top w:val="nil"/>
              <w:left w:val="nil"/>
              <w:bottom w:val="nil"/>
              <w:right w:val="nil"/>
            </w:tcBorders>
            <w:tcMar>
              <w:top w:w="105" w:type="dxa"/>
              <w:left w:w="150" w:type="dxa"/>
              <w:bottom w:w="105" w:type="dxa"/>
              <w:right w:w="150" w:type="dxa"/>
            </w:tcMar>
            <w:hideMark/>
          </w:tcPr>
          <w:p w14:paraId="375DB363"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P</w:t>
            </w:r>
          </w:p>
        </w:tc>
        <w:tc>
          <w:tcPr>
            <w:tcW w:w="0" w:type="auto"/>
            <w:tcBorders>
              <w:top w:val="nil"/>
              <w:left w:val="nil"/>
              <w:bottom w:val="nil"/>
              <w:right w:val="nil"/>
            </w:tcBorders>
            <w:tcMar>
              <w:top w:w="105" w:type="dxa"/>
              <w:left w:w="150" w:type="dxa"/>
              <w:bottom w:w="105" w:type="dxa"/>
              <w:right w:w="150" w:type="dxa"/>
            </w:tcMar>
            <w:hideMark/>
          </w:tcPr>
          <w:p w14:paraId="20B7B5E8"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(passing)</w:t>
            </w:r>
          </w:p>
        </w:tc>
        <w:tc>
          <w:tcPr>
            <w:tcW w:w="0" w:type="auto"/>
            <w:tcBorders>
              <w:top w:val="nil"/>
              <w:left w:val="nil"/>
              <w:bottom w:val="nil"/>
              <w:right w:val="nil"/>
            </w:tcBorders>
            <w:tcMar>
              <w:top w:w="105" w:type="dxa"/>
              <w:left w:w="150" w:type="dxa"/>
              <w:bottom w:w="105" w:type="dxa"/>
              <w:right w:w="150" w:type="dxa"/>
            </w:tcMar>
            <w:hideMark/>
          </w:tcPr>
          <w:p w14:paraId="42CA500F"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bl>
    <w:p w14:paraId="2CCAFB31" w14:textId="77777777" w:rsidR="00DC16B3" w:rsidRPr="004076D5" w:rsidRDefault="00DC16B3" w:rsidP="00DC16B3">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The grade “I” indicates that the work required for the course was not completed. It is given only when special, extenuating circumstances (such as illness) prevent the student from completing the work or taking the examination.</w:t>
      </w:r>
    </w:p>
    <w:p w14:paraId="02135674" w14:textId="77777777" w:rsidR="00DC16B3" w:rsidRPr="004076D5" w:rsidRDefault="00DC16B3" w:rsidP="00DC16B3">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 xml:space="preserve">A written request for an extension must be submitted prior to the due date of the work concerned. If the request is granted, it remains the responsibility of the student to complete all </w:t>
      </w:r>
      <w:r w:rsidRPr="004076D5">
        <w:rPr>
          <w:rFonts w:ascii="Garamond" w:eastAsia="Times New Roman" w:hAnsi="Garamond" w:cs="Segoe UI"/>
          <w:color w:val="413B41"/>
          <w:lang w:val="en-US"/>
        </w:rPr>
        <w:lastRenderedPageBreak/>
        <w:t>work for the course as soon as possible. In any case, an “I” grade must be removed within the extension time granted; otherwise it will be changed to “F.”</w:t>
      </w:r>
    </w:p>
    <w:p w14:paraId="3AE856D7" w14:textId="77777777" w:rsidR="00DC16B3" w:rsidRDefault="00DC16B3" w:rsidP="00DC16B3">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The grade “W” indicates that a student has withdrawn from a course after the drop deadline. This grade is granted by the academic dean only in extenuating circumstances.</w:t>
      </w:r>
    </w:p>
    <w:p w14:paraId="7E584082" w14:textId="5D1B9202" w:rsidR="00DC16B3" w:rsidRDefault="00DC16B3" w:rsidP="00DC16B3">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If a course is retaken, the original grade remains on the transcript and is included in the GPA.</w:t>
      </w:r>
      <w:r w:rsidRPr="004076D5">
        <w:rPr>
          <w:rFonts w:ascii="Garamond" w:eastAsia="Times New Roman" w:hAnsi="Garamond" w:cs="Segoe UI"/>
          <w:color w:val="413B41"/>
          <w:lang w:val="en-US"/>
        </w:rPr>
        <w:br/>
      </w:r>
    </w:p>
    <w:p w14:paraId="05BD4553" w14:textId="49193886" w:rsidR="00AB1E2C" w:rsidRDefault="00AB1E2C" w:rsidP="00DC16B3">
      <w:pPr>
        <w:spacing w:after="100" w:afterAutospacing="1"/>
        <w:rPr>
          <w:rFonts w:ascii="Garamond" w:eastAsia="Times New Roman" w:hAnsi="Garamond" w:cs="Segoe UI"/>
          <w:color w:val="413B41"/>
          <w:lang w:val="en-US"/>
        </w:rPr>
      </w:pPr>
    </w:p>
    <w:p w14:paraId="679A4F6F" w14:textId="25E63E9A" w:rsidR="00AB1E2C" w:rsidRDefault="00AB1E2C" w:rsidP="00DC16B3">
      <w:pPr>
        <w:spacing w:after="100" w:afterAutospacing="1"/>
        <w:rPr>
          <w:rFonts w:ascii="Garamond" w:eastAsia="Times New Roman" w:hAnsi="Garamond" w:cs="Segoe UI"/>
          <w:color w:val="413B41"/>
          <w:lang w:val="en-US"/>
        </w:rPr>
      </w:pPr>
    </w:p>
    <w:p w14:paraId="0CFC554B" w14:textId="4760CC54" w:rsidR="00AB1E2C" w:rsidRDefault="00AB1E2C" w:rsidP="00DC16B3">
      <w:pPr>
        <w:spacing w:after="100" w:afterAutospacing="1"/>
        <w:rPr>
          <w:rFonts w:ascii="Garamond" w:eastAsia="Times New Roman" w:hAnsi="Garamond" w:cs="Segoe UI"/>
          <w:color w:val="413B41"/>
          <w:lang w:val="en-US"/>
        </w:rPr>
      </w:pPr>
    </w:p>
    <w:p w14:paraId="678B8130" w14:textId="6DE803FF" w:rsidR="00AB1E2C" w:rsidRDefault="00AB1E2C" w:rsidP="00DC16B3">
      <w:pPr>
        <w:spacing w:after="100" w:afterAutospacing="1"/>
        <w:rPr>
          <w:rFonts w:ascii="Garamond" w:eastAsia="Times New Roman" w:hAnsi="Garamond" w:cs="Segoe UI"/>
          <w:color w:val="413B41"/>
          <w:lang w:val="en-US"/>
        </w:rPr>
      </w:pPr>
    </w:p>
    <w:p w14:paraId="78EE4D9C" w14:textId="6924632A" w:rsidR="00AB1E2C" w:rsidRDefault="00AB1E2C" w:rsidP="00DC16B3">
      <w:pPr>
        <w:spacing w:after="100" w:afterAutospacing="1"/>
        <w:rPr>
          <w:rFonts w:ascii="Garamond" w:eastAsia="Times New Roman" w:hAnsi="Garamond" w:cs="Segoe UI"/>
          <w:color w:val="413B41"/>
          <w:lang w:val="en-US"/>
        </w:rPr>
      </w:pPr>
    </w:p>
    <w:p w14:paraId="33FD2816" w14:textId="11F7A811" w:rsidR="00AB1E2C" w:rsidRDefault="00AB1E2C" w:rsidP="00DC16B3">
      <w:pPr>
        <w:spacing w:after="100" w:afterAutospacing="1"/>
        <w:rPr>
          <w:rFonts w:ascii="Garamond" w:eastAsia="Times New Roman" w:hAnsi="Garamond" w:cs="Segoe UI"/>
          <w:color w:val="413B41"/>
          <w:lang w:val="en-US"/>
        </w:rPr>
      </w:pPr>
    </w:p>
    <w:p w14:paraId="64F74002" w14:textId="77777777" w:rsidR="00AB1E2C" w:rsidRPr="004076D5" w:rsidRDefault="00AB1E2C" w:rsidP="00DC16B3">
      <w:pPr>
        <w:spacing w:after="100" w:afterAutospacing="1"/>
        <w:rPr>
          <w:rFonts w:ascii="Garamond" w:eastAsia="Times New Roman" w:hAnsi="Garamond" w:cs="Segoe UI"/>
          <w:color w:val="413B41"/>
          <w:lang w:val="en-US"/>
        </w:rPr>
      </w:pPr>
    </w:p>
    <w:p w14:paraId="44C175CD" w14:textId="7C5F7087" w:rsidR="001D6559" w:rsidRDefault="001D6559" w:rsidP="001D6559">
      <w:pPr>
        <w:rPr>
          <w:rFonts w:ascii="Garamond" w:hAnsi="Garamond"/>
          <w:lang w:val="en-US"/>
        </w:rPr>
      </w:pPr>
    </w:p>
    <w:p w14:paraId="746CE925" w14:textId="11392542" w:rsidR="00AB1E2C" w:rsidRDefault="00AB1E2C" w:rsidP="001D6559">
      <w:pPr>
        <w:rPr>
          <w:rFonts w:ascii="Garamond" w:hAnsi="Garamond"/>
          <w:lang w:val="en-US"/>
        </w:rPr>
      </w:pPr>
    </w:p>
    <w:p w14:paraId="58570F58" w14:textId="1EF48FEB" w:rsidR="00AB1E2C" w:rsidRDefault="00AB1E2C" w:rsidP="001D6559">
      <w:pPr>
        <w:rPr>
          <w:rFonts w:ascii="Garamond" w:hAnsi="Garamond"/>
          <w:lang w:val="en-US"/>
        </w:rPr>
      </w:pPr>
    </w:p>
    <w:p w14:paraId="2741E1E5" w14:textId="2583D886" w:rsidR="00AB1E2C" w:rsidRDefault="00AB1E2C" w:rsidP="001D6559">
      <w:pPr>
        <w:rPr>
          <w:rFonts w:ascii="Garamond" w:hAnsi="Garamond"/>
          <w:lang w:val="en-US"/>
        </w:rPr>
      </w:pPr>
    </w:p>
    <w:p w14:paraId="4E164759" w14:textId="47BC03CA" w:rsidR="00AB1E2C" w:rsidRDefault="00AB1E2C" w:rsidP="001D6559">
      <w:pPr>
        <w:rPr>
          <w:rFonts w:ascii="Garamond" w:hAnsi="Garamond"/>
          <w:lang w:val="en-US"/>
        </w:rPr>
      </w:pPr>
    </w:p>
    <w:p w14:paraId="12EA29C9" w14:textId="3C51CFD9" w:rsidR="00AB1E2C" w:rsidRDefault="00AB1E2C" w:rsidP="001D6559">
      <w:pPr>
        <w:rPr>
          <w:rFonts w:ascii="Garamond" w:hAnsi="Garamond"/>
          <w:lang w:val="en-US"/>
        </w:rPr>
      </w:pPr>
    </w:p>
    <w:p w14:paraId="299F8AC8" w14:textId="689BD10D" w:rsidR="00AB1E2C" w:rsidRDefault="00AB1E2C" w:rsidP="001D6559">
      <w:pPr>
        <w:rPr>
          <w:rFonts w:ascii="Garamond" w:hAnsi="Garamond"/>
          <w:lang w:val="en-US"/>
        </w:rPr>
      </w:pPr>
    </w:p>
    <w:p w14:paraId="3CAFDAFB" w14:textId="4170A14E" w:rsidR="00AB1E2C" w:rsidRDefault="00AB1E2C" w:rsidP="001D6559">
      <w:pPr>
        <w:rPr>
          <w:rFonts w:ascii="Garamond" w:hAnsi="Garamond"/>
          <w:lang w:val="en-US"/>
        </w:rPr>
      </w:pPr>
    </w:p>
    <w:p w14:paraId="18E90A2D" w14:textId="3F3815D9" w:rsidR="00AB1E2C" w:rsidRDefault="00AB1E2C" w:rsidP="001D6559">
      <w:pPr>
        <w:rPr>
          <w:rFonts w:ascii="Garamond" w:hAnsi="Garamond"/>
          <w:lang w:val="en-US"/>
        </w:rPr>
      </w:pPr>
    </w:p>
    <w:p w14:paraId="65AAF3D5" w14:textId="6A590F96" w:rsidR="00AB1E2C" w:rsidRDefault="00AB1E2C" w:rsidP="001D6559">
      <w:pPr>
        <w:rPr>
          <w:rFonts w:ascii="Garamond" w:hAnsi="Garamond"/>
          <w:lang w:val="en-US"/>
        </w:rPr>
      </w:pPr>
    </w:p>
    <w:p w14:paraId="75B7EC31" w14:textId="2BED19ED" w:rsidR="00AB1E2C" w:rsidRDefault="00AB1E2C" w:rsidP="001D6559">
      <w:pPr>
        <w:rPr>
          <w:rFonts w:ascii="Garamond" w:hAnsi="Garamond"/>
          <w:lang w:val="en-US"/>
        </w:rPr>
      </w:pPr>
    </w:p>
    <w:p w14:paraId="420851F8" w14:textId="543D6BC3" w:rsidR="00AB1E2C" w:rsidRDefault="00AB1E2C" w:rsidP="001D6559">
      <w:pPr>
        <w:rPr>
          <w:rFonts w:ascii="Garamond" w:hAnsi="Garamond"/>
          <w:lang w:val="en-US"/>
        </w:rPr>
      </w:pPr>
    </w:p>
    <w:p w14:paraId="535BFB6B" w14:textId="0AC92113" w:rsidR="00AB1E2C" w:rsidRDefault="00AB1E2C" w:rsidP="001D6559">
      <w:pPr>
        <w:rPr>
          <w:rFonts w:ascii="Garamond" w:hAnsi="Garamond"/>
          <w:lang w:val="en-US"/>
        </w:rPr>
      </w:pPr>
    </w:p>
    <w:p w14:paraId="61068A47" w14:textId="52F39E5B" w:rsidR="00AB1E2C" w:rsidRDefault="00AB1E2C" w:rsidP="001D6559">
      <w:pPr>
        <w:rPr>
          <w:rFonts w:ascii="Garamond" w:hAnsi="Garamond"/>
          <w:lang w:val="en-US"/>
        </w:rPr>
      </w:pPr>
    </w:p>
    <w:p w14:paraId="670EFDB8" w14:textId="452874EE" w:rsidR="00AB1E2C" w:rsidRDefault="00AB1E2C" w:rsidP="001D6559">
      <w:pPr>
        <w:rPr>
          <w:rFonts w:ascii="Garamond" w:hAnsi="Garamond"/>
          <w:lang w:val="en-US"/>
        </w:rPr>
      </w:pPr>
    </w:p>
    <w:p w14:paraId="3C1A9651" w14:textId="630582AE" w:rsidR="00AB1E2C" w:rsidRDefault="00AB1E2C" w:rsidP="001D6559">
      <w:pPr>
        <w:rPr>
          <w:rFonts w:ascii="Garamond" w:hAnsi="Garamond"/>
          <w:lang w:val="en-US"/>
        </w:rPr>
      </w:pPr>
    </w:p>
    <w:p w14:paraId="65734492" w14:textId="121A7C71" w:rsidR="00AB1E2C" w:rsidRDefault="00AB1E2C" w:rsidP="001D6559">
      <w:pPr>
        <w:rPr>
          <w:rFonts w:ascii="Garamond" w:hAnsi="Garamond"/>
          <w:lang w:val="en-US"/>
        </w:rPr>
      </w:pPr>
    </w:p>
    <w:p w14:paraId="1D24C801" w14:textId="271996BF" w:rsidR="00AB1E2C" w:rsidRDefault="00AB1E2C" w:rsidP="001D6559">
      <w:pPr>
        <w:rPr>
          <w:rFonts w:ascii="Garamond" w:hAnsi="Garamond"/>
          <w:lang w:val="en-US"/>
        </w:rPr>
      </w:pPr>
    </w:p>
    <w:p w14:paraId="1BB8E2B3" w14:textId="1EDDA12E" w:rsidR="00AB1E2C" w:rsidRDefault="00AB1E2C" w:rsidP="001D6559">
      <w:pPr>
        <w:rPr>
          <w:rFonts w:ascii="Garamond" w:hAnsi="Garamond"/>
          <w:lang w:val="en-US"/>
        </w:rPr>
      </w:pPr>
    </w:p>
    <w:p w14:paraId="377D255F" w14:textId="570F882D" w:rsidR="00AB1E2C" w:rsidRDefault="00AB1E2C" w:rsidP="001D6559">
      <w:pPr>
        <w:rPr>
          <w:rFonts w:ascii="Garamond" w:hAnsi="Garamond"/>
          <w:lang w:val="en-US"/>
        </w:rPr>
      </w:pPr>
    </w:p>
    <w:p w14:paraId="09E7F7F3" w14:textId="231FD156" w:rsidR="00AB1E2C" w:rsidRDefault="00AB1E2C" w:rsidP="001D6559">
      <w:pPr>
        <w:rPr>
          <w:rFonts w:ascii="Garamond" w:hAnsi="Garamond"/>
          <w:lang w:val="en-US"/>
        </w:rPr>
      </w:pPr>
    </w:p>
    <w:p w14:paraId="16AEA297" w14:textId="44A0463C" w:rsidR="00AB1E2C" w:rsidRDefault="00AB1E2C" w:rsidP="001D6559">
      <w:pPr>
        <w:rPr>
          <w:rFonts w:ascii="Garamond" w:hAnsi="Garamond"/>
          <w:lang w:val="en-US"/>
        </w:rPr>
      </w:pPr>
    </w:p>
    <w:p w14:paraId="53B33B4B" w14:textId="1DF6A1BC" w:rsidR="00AB1E2C" w:rsidRDefault="00AB1E2C" w:rsidP="001D6559">
      <w:pPr>
        <w:rPr>
          <w:rFonts w:ascii="Garamond" w:hAnsi="Garamond"/>
          <w:lang w:val="en-US"/>
        </w:rPr>
      </w:pPr>
    </w:p>
    <w:p w14:paraId="19A77BF2" w14:textId="77777777" w:rsidR="00AB1E2C" w:rsidRDefault="00AB1E2C" w:rsidP="001D6559">
      <w:pPr>
        <w:rPr>
          <w:rFonts w:ascii="Garamond" w:hAnsi="Garamond"/>
          <w:lang w:val="en-US"/>
        </w:rPr>
      </w:pPr>
    </w:p>
    <w:p w14:paraId="0BF5B4B4" w14:textId="77777777" w:rsidR="001D6559" w:rsidRPr="001D6559" w:rsidRDefault="001D6559" w:rsidP="001D6559">
      <w:pPr>
        <w:rPr>
          <w:rFonts w:ascii="Garamond" w:hAnsi="Garamond"/>
          <w:lang w:val="en-US"/>
        </w:rPr>
      </w:pPr>
    </w:p>
    <w:p w14:paraId="6FE6954B" w14:textId="77777777" w:rsidR="00AB1E2C" w:rsidRDefault="00AB1E2C" w:rsidP="00AB1E2C">
      <w:pPr>
        <w:pStyle w:val="NoSpacing"/>
        <w:jc w:val="center"/>
      </w:pPr>
      <w:r w:rsidRPr="000744D3">
        <w:rPr>
          <w:noProof/>
        </w:rPr>
        <w:lastRenderedPageBreak/>
        <w:drawing>
          <wp:inline distT="0" distB="0" distL="0" distR="0" wp14:anchorId="487123E7" wp14:editId="377B2504">
            <wp:extent cx="5950585" cy="689610"/>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0585" cy="689610"/>
                    </a:xfrm>
                    <a:prstGeom prst="rect">
                      <a:avLst/>
                    </a:prstGeom>
                    <a:noFill/>
                    <a:ln>
                      <a:noFill/>
                    </a:ln>
                  </pic:spPr>
                </pic:pic>
              </a:graphicData>
            </a:graphic>
          </wp:inline>
        </w:drawing>
      </w:r>
    </w:p>
    <w:p w14:paraId="7BFA59B9" w14:textId="77777777" w:rsidR="00AB1E2C" w:rsidRDefault="00AB1E2C" w:rsidP="00AB1E2C">
      <w:pPr>
        <w:pStyle w:val="NoSpacing"/>
        <w:jc w:val="center"/>
        <w:rPr>
          <w:b/>
          <w:sz w:val="24"/>
          <w:szCs w:val="24"/>
        </w:rPr>
      </w:pPr>
      <w:r>
        <w:rPr>
          <w:b/>
          <w:sz w:val="24"/>
          <w:szCs w:val="24"/>
        </w:rPr>
        <w:t>Course Objectives Related to MDiv* Student Learning Outcomes</w:t>
      </w:r>
    </w:p>
    <w:p w14:paraId="4E511B99" w14:textId="3155C48E" w:rsidR="00AB1E2C" w:rsidRDefault="00AB1E2C" w:rsidP="00AB1E2C">
      <w:pPr>
        <w:pStyle w:val="NoSpacing"/>
      </w:pPr>
      <w:r>
        <w:t>Course</w:t>
      </w:r>
      <w:r w:rsidRPr="00E338D4">
        <w:t>:</w:t>
      </w:r>
      <w:r>
        <w:t xml:space="preserve">  </w:t>
      </w:r>
      <w:r>
        <w:t>ST 5150</w:t>
      </w:r>
    </w:p>
    <w:p w14:paraId="189C8D22" w14:textId="2C655080" w:rsidR="00AB1E2C" w:rsidRDefault="00AB1E2C" w:rsidP="00AB1E2C">
      <w:pPr>
        <w:pStyle w:val="NoSpacing"/>
        <w:rPr>
          <w:sz w:val="18"/>
          <w:szCs w:val="18"/>
        </w:rPr>
      </w:pPr>
      <w:r>
        <w:t>Professor:</w:t>
      </w:r>
      <w:r>
        <w:t xml:space="preserve"> </w:t>
      </w:r>
      <w:proofErr w:type="spellStart"/>
      <w:r>
        <w:t>Sutanto</w:t>
      </w:r>
      <w:proofErr w:type="spellEnd"/>
      <w:r>
        <w:tab/>
      </w:r>
      <w:r>
        <w:tab/>
      </w:r>
      <w:bookmarkStart w:id="0" w:name="_GoBack"/>
      <w:bookmarkEnd w:id="0"/>
    </w:p>
    <w:p w14:paraId="48DF0EF1" w14:textId="3C2930DD" w:rsidR="00AB1E2C" w:rsidRDefault="00AB1E2C" w:rsidP="00AB1E2C">
      <w:pPr>
        <w:pStyle w:val="NoSpacing"/>
        <w:rPr>
          <w:sz w:val="18"/>
          <w:szCs w:val="18"/>
        </w:rPr>
      </w:pPr>
      <w:r>
        <w:t>Campus:</w:t>
      </w:r>
      <w:r>
        <w:t xml:space="preserve"> Washington, D.C. </w:t>
      </w:r>
      <w:r>
        <w:tab/>
      </w:r>
    </w:p>
    <w:p w14:paraId="304D193B" w14:textId="411BA87D" w:rsidR="00AB1E2C" w:rsidRDefault="00AB1E2C" w:rsidP="00AB1E2C">
      <w:pPr>
        <w:pStyle w:val="NoSpacing"/>
        <w:rPr>
          <w:sz w:val="18"/>
          <w:szCs w:val="18"/>
        </w:rPr>
      </w:pPr>
      <w:r>
        <w:t>Date:</w:t>
      </w:r>
      <w:r>
        <w:t xml:space="preserve"> Fall 2020 </w:t>
      </w:r>
      <w:r>
        <w:tab/>
      </w:r>
    </w:p>
    <w:p w14:paraId="18CDB292" w14:textId="77777777" w:rsidR="00AB1E2C" w:rsidRPr="00E1336F" w:rsidRDefault="00AB1E2C" w:rsidP="00AB1E2C">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AB1E2C" w:rsidRPr="009B22DE" w14:paraId="5A0D9EEE" w14:textId="77777777" w:rsidTr="00B822C7">
        <w:trPr>
          <w:trHeight w:val="1294"/>
        </w:trPr>
        <w:tc>
          <w:tcPr>
            <w:tcW w:w="5238" w:type="dxa"/>
            <w:gridSpan w:val="2"/>
            <w:tcBorders>
              <w:right w:val="single" w:sz="4" w:space="0" w:color="auto"/>
            </w:tcBorders>
          </w:tcPr>
          <w:p w14:paraId="26483F1E" w14:textId="77777777" w:rsidR="00AB1E2C" w:rsidRDefault="00AB1E2C" w:rsidP="00B822C7">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3CAA1E97" w14:textId="77777777" w:rsidR="00AB1E2C" w:rsidRPr="008832AD" w:rsidRDefault="00AB1E2C" w:rsidP="00B822C7">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656465A3" w14:textId="77777777" w:rsidR="00AB1E2C" w:rsidRPr="008832AD" w:rsidRDefault="00AB1E2C" w:rsidP="00B822C7">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579C15CD" w14:textId="77777777" w:rsidR="00AB1E2C" w:rsidRDefault="00AB1E2C" w:rsidP="00B822C7">
            <w:pPr>
              <w:pStyle w:val="NoSpacing"/>
              <w:jc w:val="center"/>
              <w:rPr>
                <w:b/>
                <w:sz w:val="28"/>
                <w:szCs w:val="28"/>
                <w:u w:val="single"/>
              </w:rPr>
            </w:pPr>
            <w:r>
              <w:rPr>
                <w:b/>
                <w:sz w:val="28"/>
                <w:szCs w:val="28"/>
                <w:u w:val="single"/>
              </w:rPr>
              <w:t>Rubric</w:t>
            </w:r>
          </w:p>
          <w:p w14:paraId="19FD2F6B" w14:textId="77777777" w:rsidR="00AB1E2C" w:rsidRPr="00F111D7" w:rsidRDefault="00AB1E2C" w:rsidP="00AB1E2C">
            <w:pPr>
              <w:pStyle w:val="NoSpacing"/>
              <w:numPr>
                <w:ilvl w:val="0"/>
                <w:numId w:val="7"/>
              </w:numPr>
              <w:ind w:hanging="200"/>
              <w:jc w:val="both"/>
              <w:rPr>
                <w:b/>
                <w:sz w:val="18"/>
                <w:szCs w:val="18"/>
              </w:rPr>
            </w:pPr>
            <w:r w:rsidRPr="00F111D7">
              <w:rPr>
                <w:b/>
                <w:sz w:val="18"/>
                <w:szCs w:val="18"/>
              </w:rPr>
              <w:t>Strong</w:t>
            </w:r>
          </w:p>
          <w:p w14:paraId="2110DC76" w14:textId="77777777" w:rsidR="00AB1E2C" w:rsidRPr="00F111D7" w:rsidRDefault="00AB1E2C" w:rsidP="00AB1E2C">
            <w:pPr>
              <w:pStyle w:val="NoSpacing"/>
              <w:numPr>
                <w:ilvl w:val="0"/>
                <w:numId w:val="7"/>
              </w:numPr>
              <w:ind w:hanging="200"/>
              <w:jc w:val="both"/>
              <w:rPr>
                <w:b/>
                <w:sz w:val="18"/>
                <w:szCs w:val="18"/>
              </w:rPr>
            </w:pPr>
            <w:r w:rsidRPr="00F111D7">
              <w:rPr>
                <w:b/>
                <w:sz w:val="18"/>
                <w:szCs w:val="18"/>
              </w:rPr>
              <w:t>Moderate</w:t>
            </w:r>
          </w:p>
          <w:p w14:paraId="1EE66460" w14:textId="77777777" w:rsidR="00AB1E2C" w:rsidRDefault="00AB1E2C" w:rsidP="00AB1E2C">
            <w:pPr>
              <w:pStyle w:val="NoSpacing"/>
              <w:numPr>
                <w:ilvl w:val="0"/>
                <w:numId w:val="7"/>
              </w:numPr>
              <w:ind w:hanging="200"/>
              <w:jc w:val="both"/>
              <w:rPr>
                <w:b/>
                <w:sz w:val="18"/>
                <w:szCs w:val="18"/>
              </w:rPr>
            </w:pPr>
            <w:r w:rsidRPr="00F111D7">
              <w:rPr>
                <w:b/>
                <w:sz w:val="18"/>
                <w:szCs w:val="18"/>
              </w:rPr>
              <w:t>Minimal</w:t>
            </w:r>
          </w:p>
          <w:p w14:paraId="07A5719F" w14:textId="77777777" w:rsidR="00AB1E2C" w:rsidRPr="00F111D7" w:rsidRDefault="00AB1E2C" w:rsidP="00AB1E2C">
            <w:pPr>
              <w:pStyle w:val="NoSpacing"/>
              <w:numPr>
                <w:ilvl w:val="0"/>
                <w:numId w:val="7"/>
              </w:numPr>
              <w:ind w:hanging="200"/>
              <w:jc w:val="both"/>
              <w:rPr>
                <w:b/>
                <w:sz w:val="18"/>
                <w:szCs w:val="18"/>
              </w:rPr>
            </w:pPr>
            <w:r>
              <w:rPr>
                <w:b/>
                <w:sz w:val="18"/>
                <w:szCs w:val="18"/>
              </w:rPr>
              <w:t>None</w:t>
            </w:r>
          </w:p>
        </w:tc>
        <w:tc>
          <w:tcPr>
            <w:tcW w:w="2250" w:type="dxa"/>
            <w:tcBorders>
              <w:right w:val="single" w:sz="4" w:space="0" w:color="auto"/>
            </w:tcBorders>
          </w:tcPr>
          <w:p w14:paraId="7104A3D2" w14:textId="77777777" w:rsidR="00AB1E2C" w:rsidRPr="004036B5" w:rsidRDefault="00AB1E2C" w:rsidP="00B822C7">
            <w:pPr>
              <w:pStyle w:val="NoSpacing"/>
              <w:jc w:val="center"/>
              <w:rPr>
                <w:b/>
                <w:sz w:val="28"/>
                <w:szCs w:val="28"/>
                <w:u w:val="single"/>
              </w:rPr>
            </w:pPr>
            <w:r>
              <w:rPr>
                <w:b/>
                <w:sz w:val="28"/>
                <w:szCs w:val="28"/>
                <w:u w:val="single"/>
              </w:rPr>
              <w:t>Mini-Justification</w:t>
            </w:r>
          </w:p>
        </w:tc>
      </w:tr>
      <w:tr w:rsidR="00AB1E2C" w:rsidRPr="009B22DE" w14:paraId="7A182F4D" w14:textId="77777777" w:rsidTr="00B822C7">
        <w:tc>
          <w:tcPr>
            <w:tcW w:w="1458" w:type="dxa"/>
            <w:tcBorders>
              <w:right w:val="single" w:sz="4" w:space="0" w:color="auto"/>
            </w:tcBorders>
          </w:tcPr>
          <w:p w14:paraId="5797032D" w14:textId="77777777" w:rsidR="00AB1E2C" w:rsidRPr="00373E24" w:rsidRDefault="00AB1E2C" w:rsidP="00B822C7">
            <w:pPr>
              <w:pStyle w:val="NoSpacing"/>
              <w:rPr>
                <w:b/>
                <w:sz w:val="20"/>
                <w:szCs w:val="20"/>
              </w:rPr>
            </w:pPr>
            <w:r w:rsidRPr="00373E24">
              <w:rPr>
                <w:b/>
                <w:sz w:val="20"/>
                <w:szCs w:val="20"/>
              </w:rPr>
              <w:t xml:space="preserve">Articulation </w:t>
            </w:r>
          </w:p>
          <w:p w14:paraId="5761B2B5" w14:textId="77777777" w:rsidR="00AB1E2C" w:rsidRPr="00373E24" w:rsidRDefault="00AB1E2C" w:rsidP="00B822C7">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5A11B008" w14:textId="77777777" w:rsidR="00AB1E2C" w:rsidRPr="00373E24" w:rsidRDefault="00AB1E2C" w:rsidP="00B822C7">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739AFA6B" w14:textId="252237D6" w:rsidR="00AB1E2C" w:rsidRPr="009B22DE" w:rsidRDefault="00AB1E2C" w:rsidP="00B822C7">
            <w:pPr>
              <w:pStyle w:val="NoSpacing"/>
            </w:pPr>
            <w:r>
              <w:t>Strong</w:t>
            </w:r>
          </w:p>
        </w:tc>
        <w:tc>
          <w:tcPr>
            <w:tcW w:w="2250" w:type="dxa"/>
            <w:tcBorders>
              <w:left w:val="single" w:sz="4" w:space="0" w:color="auto"/>
            </w:tcBorders>
          </w:tcPr>
          <w:p w14:paraId="1B85E112" w14:textId="0C2D299A" w:rsidR="00AB1E2C" w:rsidRPr="00AB1E2C" w:rsidRDefault="00AB1E2C" w:rsidP="00B822C7">
            <w:pPr>
              <w:pStyle w:val="NoSpacing"/>
              <w:rPr>
                <w:color w:val="000000" w:themeColor="text1"/>
                <w:sz w:val="20"/>
                <w:szCs w:val="20"/>
              </w:rPr>
            </w:pPr>
            <w:r>
              <w:rPr>
                <w:color w:val="000000" w:themeColor="text1"/>
                <w:sz w:val="20"/>
                <w:szCs w:val="20"/>
              </w:rPr>
              <w:t xml:space="preserve">Exam, Paper, and Reading Comprehension. </w:t>
            </w:r>
          </w:p>
        </w:tc>
      </w:tr>
      <w:tr w:rsidR="00AB1E2C" w:rsidRPr="009B22DE" w14:paraId="1D9095F0" w14:textId="77777777" w:rsidTr="00B822C7">
        <w:tc>
          <w:tcPr>
            <w:tcW w:w="1458" w:type="dxa"/>
            <w:tcBorders>
              <w:right w:val="single" w:sz="4" w:space="0" w:color="auto"/>
            </w:tcBorders>
          </w:tcPr>
          <w:p w14:paraId="0CDB8CEB" w14:textId="77777777" w:rsidR="00AB1E2C" w:rsidRPr="00373E24" w:rsidRDefault="00AB1E2C" w:rsidP="00B822C7">
            <w:pPr>
              <w:pStyle w:val="NoSpacing"/>
              <w:rPr>
                <w:b/>
                <w:sz w:val="20"/>
                <w:szCs w:val="20"/>
              </w:rPr>
            </w:pPr>
            <w:r w:rsidRPr="00373E24">
              <w:rPr>
                <w:b/>
                <w:sz w:val="20"/>
                <w:szCs w:val="20"/>
              </w:rPr>
              <w:t>Scripture</w:t>
            </w:r>
          </w:p>
          <w:p w14:paraId="5DB9D53B" w14:textId="77777777" w:rsidR="00AB1E2C" w:rsidRPr="00373E24" w:rsidRDefault="00AB1E2C" w:rsidP="00B822C7">
            <w:pPr>
              <w:pStyle w:val="NoSpacing"/>
              <w:rPr>
                <w:b/>
                <w:sz w:val="20"/>
                <w:szCs w:val="20"/>
              </w:rPr>
            </w:pPr>
          </w:p>
          <w:p w14:paraId="3D362BAC" w14:textId="77777777" w:rsidR="00AB1E2C" w:rsidRPr="00373E24" w:rsidRDefault="00AB1E2C" w:rsidP="00B822C7">
            <w:pPr>
              <w:pStyle w:val="NoSpacing"/>
              <w:rPr>
                <w:b/>
                <w:sz w:val="20"/>
                <w:szCs w:val="20"/>
              </w:rPr>
            </w:pPr>
          </w:p>
        </w:tc>
        <w:tc>
          <w:tcPr>
            <w:tcW w:w="3780" w:type="dxa"/>
            <w:tcBorders>
              <w:left w:val="single" w:sz="4" w:space="0" w:color="auto"/>
              <w:right w:val="single" w:sz="4" w:space="0" w:color="auto"/>
            </w:tcBorders>
          </w:tcPr>
          <w:p w14:paraId="62364D42" w14:textId="77777777" w:rsidR="00AB1E2C" w:rsidRPr="00373E24" w:rsidRDefault="00AB1E2C" w:rsidP="00B822C7">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583ECCC5" w14:textId="305DE486" w:rsidR="00AB1E2C" w:rsidRPr="009B22DE" w:rsidRDefault="00AB1E2C" w:rsidP="00B822C7">
            <w:pPr>
              <w:pStyle w:val="NoSpacing"/>
            </w:pPr>
            <w:r>
              <w:t>Strong</w:t>
            </w:r>
          </w:p>
        </w:tc>
        <w:tc>
          <w:tcPr>
            <w:tcW w:w="2250" w:type="dxa"/>
            <w:tcBorders>
              <w:left w:val="single" w:sz="4" w:space="0" w:color="auto"/>
            </w:tcBorders>
          </w:tcPr>
          <w:p w14:paraId="7C427BB4" w14:textId="46D80091" w:rsidR="00AB1E2C" w:rsidRPr="00B12506" w:rsidRDefault="00AB1E2C" w:rsidP="00B822C7">
            <w:pPr>
              <w:pStyle w:val="NoSpacing"/>
              <w:rPr>
                <w:sz w:val="20"/>
                <w:szCs w:val="20"/>
              </w:rPr>
            </w:pPr>
            <w:r>
              <w:rPr>
                <w:sz w:val="20"/>
                <w:szCs w:val="20"/>
              </w:rPr>
              <w:t>ST involves an extended focus on a theological reading of particular Scriptural texts and their doctrinal significance.</w:t>
            </w:r>
          </w:p>
        </w:tc>
      </w:tr>
      <w:tr w:rsidR="00AB1E2C" w:rsidRPr="009B22DE" w14:paraId="02BF3856" w14:textId="77777777" w:rsidTr="00B822C7">
        <w:tc>
          <w:tcPr>
            <w:tcW w:w="1458" w:type="dxa"/>
            <w:tcBorders>
              <w:right w:val="single" w:sz="4" w:space="0" w:color="auto"/>
            </w:tcBorders>
          </w:tcPr>
          <w:p w14:paraId="4ED4E13E" w14:textId="77777777" w:rsidR="00AB1E2C" w:rsidRPr="00373E24" w:rsidRDefault="00AB1E2C" w:rsidP="00B822C7">
            <w:pPr>
              <w:pStyle w:val="NoSpacing"/>
              <w:rPr>
                <w:b/>
                <w:sz w:val="20"/>
                <w:szCs w:val="20"/>
              </w:rPr>
            </w:pPr>
            <w:r w:rsidRPr="00373E24">
              <w:rPr>
                <w:b/>
                <w:sz w:val="20"/>
                <w:szCs w:val="20"/>
              </w:rPr>
              <w:t>Reformed Theology</w:t>
            </w:r>
          </w:p>
          <w:p w14:paraId="57D1E52F" w14:textId="77777777" w:rsidR="00AB1E2C" w:rsidRPr="00373E24" w:rsidRDefault="00AB1E2C" w:rsidP="00B822C7">
            <w:pPr>
              <w:pStyle w:val="NoSpacing"/>
              <w:rPr>
                <w:b/>
                <w:sz w:val="20"/>
                <w:szCs w:val="20"/>
              </w:rPr>
            </w:pPr>
          </w:p>
          <w:p w14:paraId="2A5217DD" w14:textId="77777777" w:rsidR="00AB1E2C" w:rsidRPr="00373E24" w:rsidRDefault="00AB1E2C" w:rsidP="00B822C7">
            <w:pPr>
              <w:pStyle w:val="NoSpacing"/>
              <w:rPr>
                <w:b/>
                <w:sz w:val="20"/>
                <w:szCs w:val="20"/>
              </w:rPr>
            </w:pPr>
          </w:p>
        </w:tc>
        <w:tc>
          <w:tcPr>
            <w:tcW w:w="3780" w:type="dxa"/>
            <w:tcBorders>
              <w:left w:val="single" w:sz="4" w:space="0" w:color="auto"/>
              <w:right w:val="single" w:sz="4" w:space="0" w:color="auto"/>
            </w:tcBorders>
          </w:tcPr>
          <w:p w14:paraId="2A6A4052" w14:textId="77777777" w:rsidR="00AB1E2C" w:rsidRPr="00373E24" w:rsidRDefault="00AB1E2C" w:rsidP="00B822C7">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493244C2" w14:textId="1CEAF11A" w:rsidR="00AB1E2C" w:rsidRPr="009B22DE" w:rsidRDefault="00AB1E2C" w:rsidP="00B822C7">
            <w:pPr>
              <w:pStyle w:val="NoSpacing"/>
            </w:pPr>
            <w:r>
              <w:t>Strong</w:t>
            </w:r>
          </w:p>
        </w:tc>
        <w:tc>
          <w:tcPr>
            <w:tcW w:w="2250" w:type="dxa"/>
            <w:tcBorders>
              <w:left w:val="single" w:sz="4" w:space="0" w:color="auto"/>
            </w:tcBorders>
          </w:tcPr>
          <w:p w14:paraId="28849E72" w14:textId="79CEDD19" w:rsidR="00AB1E2C" w:rsidRPr="00B12506" w:rsidRDefault="00AB1E2C" w:rsidP="00B822C7">
            <w:pPr>
              <w:pStyle w:val="NoSpacing"/>
              <w:rPr>
                <w:sz w:val="20"/>
                <w:szCs w:val="20"/>
              </w:rPr>
            </w:pPr>
            <w:r>
              <w:rPr>
                <w:sz w:val="20"/>
                <w:szCs w:val="20"/>
              </w:rPr>
              <w:t xml:space="preserve">Lecture material and reading highlight comprehension of the WCF and Reformed theology. </w:t>
            </w:r>
          </w:p>
        </w:tc>
      </w:tr>
      <w:tr w:rsidR="00AB1E2C" w:rsidRPr="009B22DE" w14:paraId="6DB0C4D9" w14:textId="77777777" w:rsidTr="00B822C7">
        <w:tc>
          <w:tcPr>
            <w:tcW w:w="1458" w:type="dxa"/>
            <w:tcBorders>
              <w:right w:val="single" w:sz="4" w:space="0" w:color="auto"/>
            </w:tcBorders>
          </w:tcPr>
          <w:p w14:paraId="7CE0E234" w14:textId="77777777" w:rsidR="00AB1E2C" w:rsidRPr="00373E24" w:rsidRDefault="00AB1E2C" w:rsidP="00B822C7">
            <w:pPr>
              <w:pStyle w:val="NoSpacing"/>
              <w:rPr>
                <w:b/>
                <w:sz w:val="20"/>
                <w:szCs w:val="20"/>
              </w:rPr>
            </w:pPr>
            <w:r w:rsidRPr="00373E24">
              <w:rPr>
                <w:b/>
                <w:sz w:val="20"/>
                <w:szCs w:val="20"/>
              </w:rPr>
              <w:t>Sanctification</w:t>
            </w:r>
          </w:p>
          <w:p w14:paraId="5A52D01D" w14:textId="77777777" w:rsidR="00AB1E2C" w:rsidRPr="00373E24" w:rsidRDefault="00AB1E2C" w:rsidP="00B822C7">
            <w:pPr>
              <w:pStyle w:val="NoSpacing"/>
              <w:rPr>
                <w:b/>
                <w:sz w:val="20"/>
                <w:szCs w:val="20"/>
              </w:rPr>
            </w:pPr>
          </w:p>
          <w:p w14:paraId="3606D69B" w14:textId="77777777" w:rsidR="00AB1E2C" w:rsidRPr="00373E24" w:rsidRDefault="00AB1E2C" w:rsidP="00B822C7">
            <w:pPr>
              <w:pStyle w:val="NoSpacing"/>
              <w:rPr>
                <w:b/>
                <w:sz w:val="20"/>
                <w:szCs w:val="20"/>
              </w:rPr>
            </w:pPr>
          </w:p>
        </w:tc>
        <w:tc>
          <w:tcPr>
            <w:tcW w:w="3780" w:type="dxa"/>
            <w:tcBorders>
              <w:left w:val="single" w:sz="4" w:space="0" w:color="auto"/>
              <w:right w:val="single" w:sz="4" w:space="0" w:color="auto"/>
            </w:tcBorders>
          </w:tcPr>
          <w:p w14:paraId="3F63CBA1" w14:textId="77777777" w:rsidR="00AB1E2C" w:rsidRPr="00373E24" w:rsidRDefault="00AB1E2C" w:rsidP="00B822C7">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7287B8BA" w14:textId="5AC8B3A5" w:rsidR="00AB1E2C" w:rsidRPr="009B22DE" w:rsidRDefault="00AB1E2C" w:rsidP="00B822C7">
            <w:pPr>
              <w:pStyle w:val="NoSpacing"/>
            </w:pPr>
            <w:r>
              <w:t>Moderate</w:t>
            </w:r>
          </w:p>
        </w:tc>
        <w:tc>
          <w:tcPr>
            <w:tcW w:w="2250" w:type="dxa"/>
            <w:tcBorders>
              <w:left w:val="single" w:sz="4" w:space="0" w:color="auto"/>
            </w:tcBorders>
          </w:tcPr>
          <w:p w14:paraId="5BC69E39" w14:textId="6DF9FBA7" w:rsidR="00AB1E2C" w:rsidRPr="00B12506" w:rsidRDefault="00AB1E2C" w:rsidP="00B822C7">
            <w:pPr>
              <w:pStyle w:val="NoSpacing"/>
              <w:rPr>
                <w:sz w:val="20"/>
                <w:szCs w:val="20"/>
              </w:rPr>
            </w:pPr>
            <w:r>
              <w:rPr>
                <w:sz w:val="20"/>
                <w:szCs w:val="20"/>
              </w:rPr>
              <w:t xml:space="preserve">The importance of character for theology and ministry is emphasized in readings and lectures. </w:t>
            </w:r>
          </w:p>
        </w:tc>
      </w:tr>
      <w:tr w:rsidR="00AB1E2C" w:rsidRPr="009B22DE" w14:paraId="547D32EA" w14:textId="77777777" w:rsidTr="00B822C7">
        <w:tc>
          <w:tcPr>
            <w:tcW w:w="1458" w:type="dxa"/>
            <w:tcBorders>
              <w:right w:val="single" w:sz="4" w:space="0" w:color="auto"/>
            </w:tcBorders>
          </w:tcPr>
          <w:p w14:paraId="317CB85C" w14:textId="77777777" w:rsidR="00AB1E2C" w:rsidRPr="00373E24" w:rsidRDefault="00AB1E2C" w:rsidP="00B822C7">
            <w:pPr>
              <w:pStyle w:val="NoSpacing"/>
              <w:rPr>
                <w:b/>
                <w:sz w:val="20"/>
                <w:szCs w:val="20"/>
              </w:rPr>
            </w:pPr>
            <w:r w:rsidRPr="00373E24">
              <w:rPr>
                <w:b/>
                <w:sz w:val="20"/>
                <w:szCs w:val="20"/>
              </w:rPr>
              <w:t>Worldview</w:t>
            </w:r>
            <w:r>
              <w:rPr>
                <w:b/>
                <w:sz w:val="20"/>
                <w:szCs w:val="20"/>
              </w:rPr>
              <w:t xml:space="preserve"> </w:t>
            </w:r>
          </w:p>
          <w:p w14:paraId="18B98142" w14:textId="77777777" w:rsidR="00AB1E2C" w:rsidRPr="00373E24" w:rsidRDefault="00AB1E2C" w:rsidP="00B822C7">
            <w:pPr>
              <w:pStyle w:val="NoSpacing"/>
              <w:rPr>
                <w:b/>
                <w:sz w:val="20"/>
                <w:szCs w:val="20"/>
              </w:rPr>
            </w:pPr>
          </w:p>
        </w:tc>
        <w:tc>
          <w:tcPr>
            <w:tcW w:w="3780" w:type="dxa"/>
            <w:tcBorders>
              <w:left w:val="single" w:sz="4" w:space="0" w:color="auto"/>
              <w:right w:val="single" w:sz="4" w:space="0" w:color="auto"/>
            </w:tcBorders>
          </w:tcPr>
          <w:p w14:paraId="1FA080AB" w14:textId="77777777" w:rsidR="00AB1E2C" w:rsidRPr="00373E24" w:rsidRDefault="00AB1E2C" w:rsidP="00B822C7">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6B74E2BB" w14:textId="492B614B" w:rsidR="00AB1E2C" w:rsidRPr="009B22DE" w:rsidRDefault="00AB1E2C" w:rsidP="00B822C7">
            <w:pPr>
              <w:pStyle w:val="NoSpacing"/>
            </w:pPr>
            <w:r>
              <w:t>Strong</w:t>
            </w:r>
          </w:p>
        </w:tc>
        <w:tc>
          <w:tcPr>
            <w:tcW w:w="2250" w:type="dxa"/>
            <w:tcBorders>
              <w:left w:val="single" w:sz="4" w:space="0" w:color="auto"/>
            </w:tcBorders>
          </w:tcPr>
          <w:p w14:paraId="7E2B0C20" w14:textId="68E03F9F" w:rsidR="00AB1E2C" w:rsidRPr="00AB1E2C" w:rsidRDefault="00AB1E2C" w:rsidP="00B822C7">
            <w:pPr>
              <w:pStyle w:val="NoSpacing"/>
              <w:rPr>
                <w:color w:val="000000" w:themeColor="text1"/>
                <w:sz w:val="20"/>
                <w:szCs w:val="20"/>
              </w:rPr>
            </w:pPr>
            <w:r>
              <w:rPr>
                <w:color w:val="000000" w:themeColor="text1"/>
                <w:sz w:val="20"/>
                <w:szCs w:val="20"/>
              </w:rPr>
              <w:t xml:space="preserve">Emphasized in lectures and reading. </w:t>
            </w:r>
          </w:p>
        </w:tc>
      </w:tr>
      <w:tr w:rsidR="00AB1E2C" w:rsidRPr="009B22DE" w14:paraId="2DF185B7" w14:textId="77777777" w:rsidTr="00B822C7">
        <w:tc>
          <w:tcPr>
            <w:tcW w:w="1458" w:type="dxa"/>
            <w:tcBorders>
              <w:right w:val="single" w:sz="4" w:space="0" w:color="auto"/>
            </w:tcBorders>
          </w:tcPr>
          <w:p w14:paraId="62172E9F" w14:textId="77777777" w:rsidR="00AB1E2C" w:rsidRPr="00373E24" w:rsidRDefault="00AB1E2C" w:rsidP="00B822C7">
            <w:pPr>
              <w:pStyle w:val="NoSpacing"/>
              <w:rPr>
                <w:b/>
                <w:sz w:val="20"/>
                <w:szCs w:val="20"/>
              </w:rPr>
            </w:pPr>
            <w:r w:rsidRPr="00373E24">
              <w:rPr>
                <w:b/>
                <w:sz w:val="20"/>
                <w:szCs w:val="20"/>
              </w:rPr>
              <w:t>Winsomely Reformed</w:t>
            </w:r>
          </w:p>
          <w:p w14:paraId="2E646E04" w14:textId="77777777" w:rsidR="00AB1E2C" w:rsidRPr="00373E24" w:rsidRDefault="00AB1E2C" w:rsidP="00B822C7">
            <w:pPr>
              <w:pStyle w:val="NoSpacing"/>
              <w:rPr>
                <w:b/>
                <w:sz w:val="20"/>
                <w:szCs w:val="20"/>
              </w:rPr>
            </w:pPr>
          </w:p>
        </w:tc>
        <w:tc>
          <w:tcPr>
            <w:tcW w:w="3780" w:type="dxa"/>
            <w:tcBorders>
              <w:left w:val="single" w:sz="4" w:space="0" w:color="auto"/>
              <w:right w:val="single" w:sz="4" w:space="0" w:color="auto"/>
            </w:tcBorders>
          </w:tcPr>
          <w:p w14:paraId="5DDD6AA4" w14:textId="77777777" w:rsidR="00AB1E2C" w:rsidRPr="00373E24" w:rsidRDefault="00AB1E2C" w:rsidP="00B822C7">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1250F198" w14:textId="08064DD1" w:rsidR="00AB1E2C" w:rsidRPr="009B22DE" w:rsidRDefault="00AB1E2C" w:rsidP="00B822C7">
            <w:pPr>
              <w:pStyle w:val="NoSpacing"/>
            </w:pPr>
            <w:r>
              <w:t>Strong</w:t>
            </w:r>
          </w:p>
        </w:tc>
        <w:tc>
          <w:tcPr>
            <w:tcW w:w="2250" w:type="dxa"/>
            <w:tcBorders>
              <w:left w:val="single" w:sz="4" w:space="0" w:color="auto"/>
            </w:tcBorders>
          </w:tcPr>
          <w:p w14:paraId="465109CB" w14:textId="202EB7B3" w:rsidR="00AB1E2C" w:rsidRPr="00AB1E2C" w:rsidRDefault="00AB1E2C" w:rsidP="00B822C7">
            <w:pPr>
              <w:pStyle w:val="NoSpacing"/>
              <w:rPr>
                <w:color w:val="000000" w:themeColor="text1"/>
                <w:sz w:val="20"/>
                <w:szCs w:val="20"/>
              </w:rPr>
            </w:pPr>
            <w:r>
              <w:rPr>
                <w:color w:val="000000" w:themeColor="text1"/>
                <w:sz w:val="20"/>
                <w:szCs w:val="20"/>
              </w:rPr>
              <w:t xml:space="preserve">Emphasized in lectures and reading. </w:t>
            </w:r>
          </w:p>
        </w:tc>
      </w:tr>
      <w:tr w:rsidR="00AB1E2C" w:rsidRPr="009B22DE" w14:paraId="2DBC6CF4" w14:textId="77777777" w:rsidTr="00B822C7">
        <w:tc>
          <w:tcPr>
            <w:tcW w:w="1458" w:type="dxa"/>
            <w:tcBorders>
              <w:right w:val="single" w:sz="4" w:space="0" w:color="auto"/>
            </w:tcBorders>
          </w:tcPr>
          <w:p w14:paraId="25A39692" w14:textId="77777777" w:rsidR="00AB1E2C" w:rsidRPr="00974AC8" w:rsidRDefault="00AB1E2C" w:rsidP="00B822C7">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0FD437C2" w14:textId="77777777" w:rsidR="00AB1E2C" w:rsidRPr="00974AC8" w:rsidRDefault="00AB1E2C" w:rsidP="00B822C7">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5B6BC359" w14:textId="6F1FED64" w:rsidR="00AB1E2C" w:rsidRPr="009B22DE" w:rsidRDefault="00AB1E2C" w:rsidP="00B822C7">
            <w:pPr>
              <w:pStyle w:val="NoSpacing"/>
            </w:pPr>
            <w:r>
              <w:t>Minimal</w:t>
            </w:r>
          </w:p>
        </w:tc>
        <w:tc>
          <w:tcPr>
            <w:tcW w:w="2250" w:type="dxa"/>
            <w:tcBorders>
              <w:left w:val="single" w:sz="4" w:space="0" w:color="auto"/>
            </w:tcBorders>
          </w:tcPr>
          <w:p w14:paraId="50321E2C" w14:textId="76DB5D7B" w:rsidR="00AB1E2C" w:rsidRPr="00AB1E2C" w:rsidRDefault="00AB1E2C" w:rsidP="00B822C7">
            <w:pPr>
              <w:pStyle w:val="NoSpacing"/>
              <w:rPr>
                <w:color w:val="000000" w:themeColor="text1"/>
                <w:sz w:val="20"/>
                <w:szCs w:val="20"/>
              </w:rPr>
            </w:pPr>
            <w:r>
              <w:rPr>
                <w:color w:val="000000" w:themeColor="text1"/>
                <w:sz w:val="20"/>
                <w:szCs w:val="20"/>
              </w:rPr>
              <w:t>Focus on doctrine and theological reading of Scripture will help in preaching and teaching.</w:t>
            </w:r>
          </w:p>
        </w:tc>
      </w:tr>
    </w:tbl>
    <w:p w14:paraId="30ACA6DB" w14:textId="77777777" w:rsidR="00AB1E2C" w:rsidRDefault="00AB1E2C" w:rsidP="00AB1E2C">
      <w:pPr>
        <w:pStyle w:val="NoSpacing"/>
      </w:pPr>
    </w:p>
    <w:p w14:paraId="6A89EDB5" w14:textId="77777777" w:rsidR="00AB1E2C" w:rsidRPr="00B12506" w:rsidRDefault="00AB1E2C" w:rsidP="00AB1E2C">
      <w:pPr>
        <w:pStyle w:val="NoSpacing"/>
        <w:rPr>
          <w:color w:val="FF0000"/>
        </w:rPr>
      </w:pPr>
    </w:p>
    <w:p w14:paraId="19E77543" w14:textId="54974E2B" w:rsidR="001B6244" w:rsidRPr="001B6244" w:rsidRDefault="001B6244">
      <w:pPr>
        <w:rPr>
          <w:rFonts w:ascii="Garamond" w:hAnsi="Garamond"/>
          <w:lang w:val="en-US"/>
        </w:rPr>
      </w:pPr>
    </w:p>
    <w:sectPr w:rsidR="001B6244" w:rsidRPr="001B6244" w:rsidSect="00DE7312">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35CFC" w14:textId="77777777" w:rsidR="006D747B" w:rsidRDefault="006D747B" w:rsidP="0002001C">
      <w:r>
        <w:separator/>
      </w:r>
    </w:p>
  </w:endnote>
  <w:endnote w:type="continuationSeparator" w:id="0">
    <w:p w14:paraId="28723DA4" w14:textId="77777777" w:rsidR="006D747B" w:rsidRDefault="006D747B" w:rsidP="0002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4323602"/>
      <w:docPartObj>
        <w:docPartGallery w:val="Page Numbers (Bottom of Page)"/>
        <w:docPartUnique/>
      </w:docPartObj>
    </w:sdtPr>
    <w:sdtEndPr>
      <w:rPr>
        <w:rStyle w:val="PageNumber"/>
      </w:rPr>
    </w:sdtEndPr>
    <w:sdtContent>
      <w:p w14:paraId="168D25C8" w14:textId="54AD6278" w:rsidR="008B6ABA" w:rsidRDefault="008B6ABA" w:rsidP="00A61B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1AE9EF" w14:textId="77777777" w:rsidR="008B6ABA" w:rsidRDefault="008B6ABA" w:rsidP="008B6A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3864071"/>
      <w:docPartObj>
        <w:docPartGallery w:val="Page Numbers (Bottom of Page)"/>
        <w:docPartUnique/>
      </w:docPartObj>
    </w:sdtPr>
    <w:sdtEndPr>
      <w:rPr>
        <w:rStyle w:val="PageNumber"/>
      </w:rPr>
    </w:sdtEndPr>
    <w:sdtContent>
      <w:p w14:paraId="76E29455" w14:textId="6EC8D70E" w:rsidR="008B6ABA" w:rsidRDefault="008B6ABA" w:rsidP="00A61B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5C5981" w14:textId="77777777" w:rsidR="008B6ABA" w:rsidRDefault="008B6ABA" w:rsidP="008B6A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7E388" w14:textId="77777777" w:rsidR="006D747B" w:rsidRDefault="006D747B" w:rsidP="0002001C">
      <w:r>
        <w:separator/>
      </w:r>
    </w:p>
  </w:footnote>
  <w:footnote w:type="continuationSeparator" w:id="0">
    <w:p w14:paraId="03A5F7F1" w14:textId="77777777" w:rsidR="006D747B" w:rsidRDefault="006D747B" w:rsidP="0002001C">
      <w:r>
        <w:continuationSeparator/>
      </w:r>
    </w:p>
  </w:footnote>
  <w:footnote w:id="1">
    <w:p w14:paraId="354250C5" w14:textId="5C46869A" w:rsidR="0002001C" w:rsidRPr="004278B6" w:rsidRDefault="0002001C" w:rsidP="004278B6">
      <w:pPr>
        <w:pStyle w:val="FootnoteText"/>
        <w:ind w:firstLine="720"/>
        <w:rPr>
          <w:rFonts w:ascii="Garamond" w:hAnsi="Garamond"/>
          <w:lang w:val="en-US"/>
        </w:rPr>
      </w:pPr>
      <w:r w:rsidRPr="004278B6">
        <w:rPr>
          <w:rStyle w:val="FootnoteReference"/>
          <w:rFonts w:ascii="Garamond" w:hAnsi="Garamond"/>
        </w:rPr>
        <w:footnoteRef/>
      </w:r>
      <w:r w:rsidRPr="004278B6">
        <w:rPr>
          <w:rFonts w:ascii="Garamond" w:hAnsi="Garamond"/>
        </w:rPr>
        <w:t xml:space="preserve"> </w:t>
      </w:r>
      <w:r w:rsidRPr="004278B6">
        <w:rPr>
          <w:rFonts w:ascii="Garamond" w:hAnsi="Garamond"/>
          <w:lang w:val="en-US"/>
        </w:rPr>
        <w:t>The examples here are merely meant for instruction on how to write a paper</w:t>
      </w:r>
      <w:r w:rsidR="004278B6">
        <w:rPr>
          <w:rFonts w:ascii="Garamond" w:hAnsi="Garamond"/>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6261"/>
    <w:multiLevelType w:val="hybridMultilevel"/>
    <w:tmpl w:val="7878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45B33"/>
    <w:multiLevelType w:val="hybridMultilevel"/>
    <w:tmpl w:val="D5FCBB8E"/>
    <w:lvl w:ilvl="0" w:tplc="98E4CA50">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D2A1B"/>
    <w:multiLevelType w:val="hybridMultilevel"/>
    <w:tmpl w:val="E65E2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B77F5"/>
    <w:multiLevelType w:val="hybridMultilevel"/>
    <w:tmpl w:val="F07EA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34F9B"/>
    <w:multiLevelType w:val="hybridMultilevel"/>
    <w:tmpl w:val="DDDE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03029"/>
    <w:multiLevelType w:val="hybridMultilevel"/>
    <w:tmpl w:val="EF16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44"/>
    <w:rsid w:val="0002001C"/>
    <w:rsid w:val="0019605F"/>
    <w:rsid w:val="001B6244"/>
    <w:rsid w:val="001D6559"/>
    <w:rsid w:val="001F5473"/>
    <w:rsid w:val="00204AD0"/>
    <w:rsid w:val="002713F8"/>
    <w:rsid w:val="002A52E7"/>
    <w:rsid w:val="002C7FBD"/>
    <w:rsid w:val="003472B1"/>
    <w:rsid w:val="004278B6"/>
    <w:rsid w:val="00573F9E"/>
    <w:rsid w:val="006D747B"/>
    <w:rsid w:val="008B6ABA"/>
    <w:rsid w:val="009A283B"/>
    <w:rsid w:val="009B5182"/>
    <w:rsid w:val="00AB1E2C"/>
    <w:rsid w:val="00D725B1"/>
    <w:rsid w:val="00D74D8F"/>
    <w:rsid w:val="00DC16B3"/>
    <w:rsid w:val="00DE06A0"/>
    <w:rsid w:val="00DE7312"/>
    <w:rsid w:val="00E17FA0"/>
    <w:rsid w:val="00EB13D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882D"/>
  <w15:chartTrackingRefBased/>
  <w15:docId w15:val="{F6CB888B-9361-8C43-8EEB-D62E1B30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44"/>
    <w:pPr>
      <w:ind w:left="720"/>
      <w:contextualSpacing/>
    </w:pPr>
  </w:style>
  <w:style w:type="paragraph" w:styleId="FootnoteText">
    <w:name w:val="footnote text"/>
    <w:basedOn w:val="Normal"/>
    <w:link w:val="FootnoteTextChar"/>
    <w:uiPriority w:val="99"/>
    <w:semiHidden/>
    <w:unhideWhenUsed/>
    <w:rsid w:val="0002001C"/>
    <w:rPr>
      <w:sz w:val="20"/>
      <w:szCs w:val="20"/>
    </w:rPr>
  </w:style>
  <w:style w:type="character" w:customStyle="1" w:styleId="FootnoteTextChar">
    <w:name w:val="Footnote Text Char"/>
    <w:basedOn w:val="DefaultParagraphFont"/>
    <w:link w:val="FootnoteText"/>
    <w:uiPriority w:val="99"/>
    <w:semiHidden/>
    <w:rsid w:val="0002001C"/>
    <w:rPr>
      <w:sz w:val="20"/>
      <w:szCs w:val="20"/>
    </w:rPr>
  </w:style>
  <w:style w:type="character" w:styleId="FootnoteReference">
    <w:name w:val="footnote reference"/>
    <w:basedOn w:val="DefaultParagraphFont"/>
    <w:uiPriority w:val="99"/>
    <w:semiHidden/>
    <w:unhideWhenUsed/>
    <w:rsid w:val="0002001C"/>
    <w:rPr>
      <w:vertAlign w:val="superscript"/>
    </w:rPr>
  </w:style>
  <w:style w:type="paragraph" w:styleId="Footer">
    <w:name w:val="footer"/>
    <w:basedOn w:val="Normal"/>
    <w:link w:val="FooterChar"/>
    <w:uiPriority w:val="99"/>
    <w:unhideWhenUsed/>
    <w:rsid w:val="008B6ABA"/>
    <w:pPr>
      <w:tabs>
        <w:tab w:val="center" w:pos="4680"/>
        <w:tab w:val="right" w:pos="9360"/>
      </w:tabs>
    </w:pPr>
  </w:style>
  <w:style w:type="character" w:customStyle="1" w:styleId="FooterChar">
    <w:name w:val="Footer Char"/>
    <w:basedOn w:val="DefaultParagraphFont"/>
    <w:link w:val="Footer"/>
    <w:uiPriority w:val="99"/>
    <w:rsid w:val="008B6ABA"/>
  </w:style>
  <w:style w:type="character" w:styleId="PageNumber">
    <w:name w:val="page number"/>
    <w:basedOn w:val="DefaultParagraphFont"/>
    <w:uiPriority w:val="99"/>
    <w:semiHidden/>
    <w:unhideWhenUsed/>
    <w:rsid w:val="008B6ABA"/>
  </w:style>
  <w:style w:type="paragraph" w:styleId="NoSpacing">
    <w:name w:val="No Spacing"/>
    <w:uiPriority w:val="1"/>
    <w:qFormat/>
    <w:rsid w:val="00AB1E2C"/>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1899</Words>
  <Characters>10162</Characters>
  <Application>Microsoft Office Word</Application>
  <DocSecurity>0</DocSecurity>
  <Lines>145</Lines>
  <Paragraphs>20</Paragraphs>
  <ScaleCrop>false</ScaleCrop>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nathaniel.gray89@outlook.com</dc:creator>
  <cp:keywords/>
  <dc:description/>
  <cp:lastModifiedBy>nathaniel.gray89@outlook.com</cp:lastModifiedBy>
  <cp:revision>8</cp:revision>
  <dcterms:created xsi:type="dcterms:W3CDTF">2020-06-03T06:31:00Z</dcterms:created>
  <dcterms:modified xsi:type="dcterms:W3CDTF">2020-06-20T04:30:00Z</dcterms:modified>
</cp:coreProperties>
</file>